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85F21" w14:textId="1BCADCD4" w:rsidR="00DB1E78" w:rsidRDefault="00DB6295" w:rsidP="00BA3D5E">
      <w:pPr>
        <w:shd w:val="clear" w:color="auto" w:fill="FFFFFF"/>
        <w:spacing w:before="0" w:after="240"/>
      </w:pPr>
      <w:bookmarkStart w:id="0" w:name="_Hlk135144509"/>
      <w:bookmarkEnd w:id="0"/>
      <w:r>
        <w:rPr>
          <w:noProof/>
        </w:rPr>
        <w:drawing>
          <wp:inline distT="0" distB="0" distL="0" distR="0" wp14:anchorId="0A49E768" wp14:editId="50E38F43">
            <wp:extent cx="1801582" cy="86672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8158" cy="874696"/>
                    </a:xfrm>
                    <a:prstGeom prst="rect">
                      <a:avLst/>
                    </a:prstGeom>
                    <a:noFill/>
                    <a:ln>
                      <a:noFill/>
                    </a:ln>
                  </pic:spPr>
                </pic:pic>
              </a:graphicData>
            </a:graphic>
          </wp:inline>
        </w:drawing>
      </w:r>
    </w:p>
    <w:p w14:paraId="4D16C1F6" w14:textId="77777777" w:rsidR="0069331E" w:rsidRDefault="0069331E" w:rsidP="0069331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u w:val="single"/>
        </w:rPr>
        <w:t>About Qualcomm</w:t>
      </w:r>
      <w:r>
        <w:rPr>
          <w:rStyle w:val="eop"/>
          <w:rFonts w:ascii="Calibri" w:hAnsi="Calibri" w:cs="Calibri"/>
          <w:sz w:val="28"/>
          <w:szCs w:val="28"/>
        </w:rPr>
        <w:t> </w:t>
      </w:r>
    </w:p>
    <w:p w14:paraId="7D1BCAE9" w14:textId="77777777" w:rsidR="0069331E" w:rsidRPr="004204EC" w:rsidRDefault="0069331E" w:rsidP="0069331E">
      <w:pPr>
        <w:pStyle w:val="paragraph"/>
        <w:spacing w:before="240" w:beforeAutospacing="0" w:after="0" w:afterAutospacing="0"/>
        <w:textAlignment w:val="baseline"/>
        <w:rPr>
          <w:rFonts w:ascii="Arial" w:hAnsi="Arial" w:cs="Arial"/>
          <w:sz w:val="22"/>
          <w:szCs w:val="22"/>
        </w:rPr>
      </w:pPr>
      <w:r w:rsidRPr="004204EC">
        <w:rPr>
          <w:rStyle w:val="normaltextrun"/>
          <w:rFonts w:ascii="Arial" w:hAnsi="Arial" w:cs="Arial"/>
          <w:sz w:val="22"/>
          <w:szCs w:val="22"/>
        </w:rPr>
        <w:t xml:space="preserve">At Qualcomm, we invent breakthrough technologies that transform how the world connects, computes, and communicates. We know that innovation can catalyze social change and that every breakthrough has the potential to impact society for the better. We also understand that the success of our business is fundamentally connected to the well-being of our world. For decades, we have seen our technologies enable people, transform industries, and enrich lives – and we want to build upon that legacy. </w:t>
      </w:r>
    </w:p>
    <w:p w14:paraId="2959438A" w14:textId="77777777" w:rsidR="004204EC" w:rsidRDefault="0069331E" w:rsidP="004204EC">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1558ABBB" w14:textId="1A397564" w:rsidR="00687864" w:rsidRPr="004204EC" w:rsidRDefault="00687864" w:rsidP="004204EC">
      <w:pPr>
        <w:pStyle w:val="paragraph"/>
        <w:spacing w:before="0" w:beforeAutospacing="0" w:after="0" w:afterAutospacing="0"/>
        <w:textAlignment w:val="baseline"/>
        <w:rPr>
          <w:rStyle w:val="normaltextrun"/>
          <w:rFonts w:ascii="Calibri" w:hAnsi="Calibri" w:cs="Calibri"/>
          <w:b/>
          <w:bCs/>
          <w:sz w:val="28"/>
          <w:szCs w:val="28"/>
          <w:u w:val="single"/>
        </w:rPr>
      </w:pPr>
      <w:r w:rsidRPr="004204EC">
        <w:rPr>
          <w:rStyle w:val="normaltextrun"/>
          <w:rFonts w:ascii="Calibri" w:hAnsi="Calibri" w:cs="Calibri"/>
          <w:b/>
          <w:bCs/>
          <w:sz w:val="28"/>
          <w:szCs w:val="28"/>
          <w:u w:val="single"/>
        </w:rPr>
        <w:t>Qualcomm in Indonesia</w:t>
      </w:r>
    </w:p>
    <w:p w14:paraId="05C0D3B1" w14:textId="77777777" w:rsidR="00687864" w:rsidRPr="004F3782" w:rsidRDefault="00687864" w:rsidP="00687864">
      <w:r w:rsidRPr="004F3782">
        <w:t>Over the past two decades, Qualcomm companies have been working with local enterprises in Indonesia – including mobile network operators, equipment design and manufacturers – to develop and deliver next-generation wireless technology products and solutions. Through collaboration across the wireless ecosystem, we have helped advance Indonesia’s transformation to a knowledge economy and a digitally empowered society and helped make mobile communications more accessible and affordable. Now, through a virtuous cycle of innovation, we are set to help enable Indonesia’s transition to 5G, AI and</w:t>
      </w:r>
      <w:r>
        <w:t xml:space="preserve"> </w:t>
      </w:r>
      <w:r w:rsidRPr="004F3782">
        <w:t xml:space="preserve">the realization of Industry 4.0. </w:t>
      </w:r>
    </w:p>
    <w:p w14:paraId="0EC90133" w14:textId="77777777" w:rsidR="0069331E" w:rsidRDefault="0069331E" w:rsidP="0069331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u w:val="single"/>
        </w:rPr>
        <w:t>About Qualcomm® Wireless Reach™ </w:t>
      </w:r>
      <w:r>
        <w:rPr>
          <w:rStyle w:val="eop"/>
          <w:rFonts w:ascii="Calibri" w:hAnsi="Calibri" w:cs="Calibri"/>
          <w:sz w:val="28"/>
          <w:szCs w:val="28"/>
        </w:rPr>
        <w:t> </w:t>
      </w:r>
    </w:p>
    <w:p w14:paraId="503FAF3C" w14:textId="77777777" w:rsidR="0069331E" w:rsidRPr="0069331E" w:rsidRDefault="0069331E" w:rsidP="0069331E">
      <w:pPr>
        <w:pStyle w:val="paragraph"/>
        <w:spacing w:before="240" w:beforeAutospacing="0" w:after="0" w:afterAutospacing="0"/>
        <w:textAlignment w:val="baseline"/>
        <w:rPr>
          <w:rFonts w:ascii="Arial" w:hAnsi="Arial" w:cs="Arial"/>
          <w:sz w:val="22"/>
          <w:szCs w:val="22"/>
        </w:rPr>
      </w:pPr>
      <w:r w:rsidRPr="0069331E">
        <w:rPr>
          <w:rStyle w:val="normaltextrun"/>
          <w:rFonts w:ascii="Arial" w:hAnsi="Arial" w:cs="Arial"/>
          <w:sz w:val="22"/>
          <w:szCs w:val="22"/>
        </w:rPr>
        <w:t>Qualcomm Wireless Reach is a strategic initiative that brings wireless technology to underserved communities globally. Wireless Reach invests in programs that foster entrepreneurship, aid in public safety, enhance the delivery of health care, enrich teaching and learning and improve environmental sustainability. Since 2006, Wireless Reach has positively impacted over 24 million people through 137 programs across 49 countries. We collaborate with non-governmental organizations, universities, government institutions, nonproﬁts, development agencies and other private sector companies to develop programs which demonstrate innovative uses of Qualcomm technology for social and economic development.</w:t>
      </w:r>
      <w:r w:rsidRPr="0069331E">
        <w:rPr>
          <w:rStyle w:val="eop"/>
          <w:rFonts w:ascii="Arial" w:hAnsi="Arial" w:cs="Arial"/>
          <w:sz w:val="22"/>
          <w:szCs w:val="22"/>
        </w:rPr>
        <w:t> </w:t>
      </w:r>
    </w:p>
    <w:p w14:paraId="4B318A3B" w14:textId="77777777" w:rsidR="00BA3D5E" w:rsidRPr="0069331E" w:rsidRDefault="00BA3D5E" w:rsidP="00BA3D5E">
      <w:pPr>
        <w:shd w:val="clear" w:color="auto" w:fill="FFFFFF"/>
        <w:spacing w:before="0" w:after="240"/>
        <w:rPr>
          <w:rFonts w:eastAsia="Times New Roman" w:cs="Arial"/>
          <w:szCs w:val="22"/>
          <w:lang w:eastAsia="en-US"/>
        </w:rPr>
      </w:pPr>
      <w:r w:rsidRPr="0069331E">
        <w:rPr>
          <w:rFonts w:eastAsia="Times New Roman" w:cs="Arial"/>
          <w:szCs w:val="22"/>
          <w:lang w:eastAsia="en-US"/>
        </w:rPr>
        <w:t>These are some highlights of our impact in Indonesia:</w:t>
      </w:r>
    </w:p>
    <w:p w14:paraId="650AC0CA" w14:textId="7903AAE3" w:rsidR="00137A5E" w:rsidRDefault="00847BCA" w:rsidP="00137A5E">
      <w:pPr>
        <w:pStyle w:val="Title"/>
        <w:rPr>
          <w:color w:val="0B5394"/>
        </w:rPr>
      </w:pPr>
      <w:r>
        <w:rPr>
          <w:b w:val="0"/>
          <w:noProof/>
          <w:color w:val="0B5394"/>
        </w:rPr>
        <w:lastRenderedPageBreak/>
        <w:drawing>
          <wp:anchor distT="0" distB="0" distL="114300" distR="114300" simplePos="0" relativeHeight="251660288" behindDoc="1" locked="0" layoutInCell="1" allowOverlap="1" wp14:anchorId="315CC7B4" wp14:editId="462A584F">
            <wp:simplePos x="0" y="0"/>
            <wp:positionH relativeFrom="column">
              <wp:posOffset>-133350</wp:posOffset>
            </wp:positionH>
            <wp:positionV relativeFrom="paragraph">
              <wp:posOffset>635635</wp:posOffset>
            </wp:positionV>
            <wp:extent cx="1933575" cy="3438525"/>
            <wp:effectExtent l="0" t="0" r="9525" b="9525"/>
            <wp:wrapTight wrapText="bothSides">
              <wp:wrapPolygon edited="0">
                <wp:start x="0" y="0"/>
                <wp:lineTo x="0" y="21540"/>
                <wp:lineTo x="21494" y="21540"/>
                <wp:lineTo x="21494" y="0"/>
                <wp:lineTo x="0" y="0"/>
              </wp:wrapPolygon>
            </wp:wrapTight>
            <wp:docPr id="1" name="Picture 1" descr="A person sitting on a boat with fishing n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boat with fishing net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3438525"/>
                    </a:xfrm>
                    <a:prstGeom prst="rect">
                      <a:avLst/>
                    </a:prstGeom>
                  </pic:spPr>
                </pic:pic>
              </a:graphicData>
            </a:graphic>
            <wp14:sizeRelH relativeFrom="page">
              <wp14:pctWidth>0</wp14:pctWidth>
            </wp14:sizeRelH>
            <wp14:sizeRelV relativeFrom="page">
              <wp14:pctHeight>0</wp14:pctHeight>
            </wp14:sizeRelV>
          </wp:anchor>
        </w:drawing>
      </w:r>
      <w:r w:rsidR="00137A5E">
        <w:t>Small-Scale Fisheries Tracking, Indonesia</w:t>
      </w:r>
    </w:p>
    <w:p w14:paraId="6892FE3D" w14:textId="5A5B137A" w:rsidR="00137A5E" w:rsidRDefault="00137A5E" w:rsidP="00137A5E">
      <w:pPr>
        <w:spacing w:after="0"/>
      </w:pPr>
      <w:r>
        <w:t xml:space="preserve">Indonesia is the world’s largest island country, comprising about 17,000 islands. Surrounded by the ocean, fisheries play an integral role in Indonesia, specifically small-scale fisheries, which make up 88 percent of the fishing industry. Small-scale fisheries are a vital source of food, nutritional security, and livelihoods of many local communities. </w:t>
      </w:r>
    </w:p>
    <w:p w14:paraId="5E59245C" w14:textId="7A2A7834" w:rsidR="00137A5E" w:rsidRDefault="00137A5E" w:rsidP="00137A5E">
      <w:pPr>
        <w:spacing w:after="0"/>
      </w:pPr>
      <w:r>
        <w:t xml:space="preserve">The limited availability of independent fisheries data from the small-scale fishers’ community leads to challenges in sustainable fisheries management. </w:t>
      </w:r>
    </w:p>
    <w:p w14:paraId="2BC8C600" w14:textId="0F6F32FE" w:rsidR="00137A5E" w:rsidRDefault="00137A5E" w:rsidP="00137A5E">
      <w:pPr>
        <w:spacing w:after="0"/>
      </w:pPr>
      <w:r>
        <w:t>To help address this, Qualcomm has partnered with Global Fishing Watch (GFW), an international non-profit d</w:t>
      </w:r>
      <w:bookmarkStart w:id="1" w:name="_Hlk135144321"/>
      <w:bookmarkEnd w:id="1"/>
      <w:r>
        <w:t xml:space="preserve">edicated to advancing ocean governance through increased transparency of human activity at sea, to support a small-scale fisheries vessel tracking project in Indonesia. The data from these small-scale fishing vessels are now available on the public GFW map, enabling information on patterns of small fisheries, which was incomplete till now, and data-driven resource management. </w:t>
      </w:r>
    </w:p>
    <w:p w14:paraId="27B4E4C2" w14:textId="52E3DE03" w:rsidR="00137A5E" w:rsidRDefault="00137A5E" w:rsidP="00137A5E">
      <w:pPr>
        <w:rPr>
          <w:b/>
          <w:color w:val="0B5394"/>
        </w:rPr>
      </w:pPr>
      <w:r>
        <w:rPr>
          <w:b/>
          <w:color w:val="0B5394"/>
        </w:rPr>
        <w:t>Challenge:</w:t>
      </w:r>
    </w:p>
    <w:p w14:paraId="61B8BA3F" w14:textId="77777777" w:rsidR="00137A5E" w:rsidRDefault="00137A5E" w:rsidP="00137A5E">
      <w:pPr>
        <w:numPr>
          <w:ilvl w:val="0"/>
          <w:numId w:val="3"/>
        </w:numPr>
        <w:spacing w:before="0" w:after="160" w:line="259" w:lineRule="auto"/>
      </w:pPr>
      <w:r>
        <w:t>Fisheries in Indonesia are critical to food security; more than half of Indonesia’s animal protein supply comes from fish and seafood, underscoring the importance of sustainable fisheries for domestic food security.</w:t>
      </w:r>
    </w:p>
    <w:p w14:paraId="06CDDF94" w14:textId="77777777" w:rsidR="00137A5E" w:rsidRDefault="00137A5E" w:rsidP="00137A5E">
      <w:pPr>
        <w:numPr>
          <w:ilvl w:val="0"/>
          <w:numId w:val="3"/>
        </w:numPr>
        <w:spacing w:before="0" w:after="160" w:line="259" w:lineRule="auto"/>
      </w:pPr>
      <w:r>
        <w:t xml:space="preserve">The sustainability of global fisheries can only be achieved with effective monitoring and governance of small-scale fishing. </w:t>
      </w:r>
    </w:p>
    <w:p w14:paraId="2306D854" w14:textId="5F1D4823" w:rsidR="00137A5E" w:rsidRDefault="00137A5E" w:rsidP="00137A5E">
      <w:pPr>
        <w:rPr>
          <w:b/>
          <w:color w:val="0B5394"/>
        </w:rPr>
      </w:pPr>
      <w:r>
        <w:rPr>
          <w:b/>
          <w:color w:val="0B5394"/>
        </w:rPr>
        <w:t>Solution:</w:t>
      </w:r>
    </w:p>
    <w:p w14:paraId="58A5E4C2" w14:textId="2B043D9F" w:rsidR="00137A5E" w:rsidRDefault="00680652" w:rsidP="00137A5E">
      <w:pPr>
        <w:numPr>
          <w:ilvl w:val="0"/>
          <w:numId w:val="4"/>
        </w:numPr>
        <w:spacing w:before="0" w:after="160" w:line="259" w:lineRule="auto"/>
      </w:pPr>
      <w:r>
        <w:rPr>
          <w:noProof/>
        </w:rPr>
        <w:drawing>
          <wp:anchor distT="0" distB="0" distL="114300" distR="114300" simplePos="0" relativeHeight="251661312" behindDoc="1" locked="0" layoutInCell="1" allowOverlap="1" wp14:anchorId="72AE01BB" wp14:editId="260464E1">
            <wp:simplePos x="0" y="0"/>
            <wp:positionH relativeFrom="margin">
              <wp:align>left</wp:align>
            </wp:positionH>
            <wp:positionV relativeFrom="paragraph">
              <wp:posOffset>40640</wp:posOffset>
            </wp:positionV>
            <wp:extent cx="3056890" cy="2038350"/>
            <wp:effectExtent l="0" t="0" r="0" b="0"/>
            <wp:wrapTight wrapText="bothSides">
              <wp:wrapPolygon edited="0">
                <wp:start x="0" y="0"/>
                <wp:lineTo x="0" y="21398"/>
                <wp:lineTo x="21403" y="21398"/>
                <wp:lineTo x="21403" y="0"/>
                <wp:lineTo x="0" y="0"/>
              </wp:wrapPolygon>
            </wp:wrapTight>
            <wp:docPr id="2" name="Picture 2" descr="A picture containing sky, outdoor, boat,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boat, wa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page">
              <wp14:pctWidth>0</wp14:pctWidth>
            </wp14:sizeRelH>
            <wp14:sizeRelV relativeFrom="page">
              <wp14:pctHeight>0</wp14:pctHeight>
            </wp14:sizeRelV>
          </wp:anchor>
        </w:drawing>
      </w:r>
      <w:r w:rsidR="00137A5E">
        <w:t xml:space="preserve">The program has deployed a 4G LTE mobile data connectivity device to learn small-scale fishing vessels movements. This data has helped develop an Artificial Intelligence (AI) model to recognize fishing vessel patterns at sea. The results of the AI model are displayed as fishing efforts on a public map of Global Fishing Watch, which also includes data of large fishing vessels. </w:t>
      </w:r>
    </w:p>
    <w:p w14:paraId="6F45C2EF" w14:textId="77777777" w:rsidR="00137A5E" w:rsidRDefault="00137A5E" w:rsidP="00137A5E">
      <w:pPr>
        <w:rPr>
          <w:b/>
          <w:color w:val="0B5394"/>
        </w:rPr>
      </w:pPr>
      <w:r>
        <w:rPr>
          <w:b/>
          <w:color w:val="0B5394"/>
        </w:rPr>
        <w:t>Impact</w:t>
      </w:r>
    </w:p>
    <w:p w14:paraId="62545092" w14:textId="4246A7F9" w:rsidR="00137A5E" w:rsidRDefault="00137A5E" w:rsidP="00137A5E">
      <w:pPr>
        <w:ind w:left="720"/>
      </w:pPr>
      <w:r>
        <w:rPr>
          <w:b/>
        </w:rPr>
        <w:t xml:space="preserve">Ocean Transparency </w:t>
      </w:r>
      <w:proofErr w:type="gramStart"/>
      <w:r>
        <w:rPr>
          <w:b/>
        </w:rPr>
        <w:t>and .</w:t>
      </w:r>
      <w:proofErr w:type="gramEnd"/>
      <w:r>
        <w:rPr>
          <w:b/>
        </w:rPr>
        <w:t xml:space="preserve"> Governance</w:t>
      </w:r>
    </w:p>
    <w:p w14:paraId="57A3D3B8" w14:textId="77777777" w:rsidR="00137A5E" w:rsidRDefault="00137A5E" w:rsidP="00137A5E">
      <w:pPr>
        <w:ind w:left="720"/>
      </w:pPr>
      <w:r>
        <w:t xml:space="preserve">Integrating small-scale fisheries information into the readily scalable global map platform of Global Fishing Watch will be a powerful tool for ocean </w:t>
      </w:r>
      <w:proofErr w:type="gramStart"/>
      <w:r>
        <w:t>governance..</w:t>
      </w:r>
      <w:proofErr w:type="gramEnd"/>
      <w:r>
        <w:t xml:space="preserve"> </w:t>
      </w:r>
    </w:p>
    <w:p w14:paraId="42FE1C26" w14:textId="12C5D656" w:rsidR="00137A5E" w:rsidRDefault="00082577" w:rsidP="00137A5E">
      <w:pPr>
        <w:ind w:left="720"/>
        <w:rPr>
          <w:b/>
        </w:rPr>
      </w:pPr>
      <w:r>
        <w:rPr>
          <w:b/>
          <w:noProof/>
          <w:color w:val="0B5394"/>
        </w:rPr>
        <w:lastRenderedPageBreak/>
        <w:drawing>
          <wp:anchor distT="0" distB="0" distL="114300" distR="114300" simplePos="0" relativeHeight="251662336" behindDoc="1" locked="0" layoutInCell="1" allowOverlap="1" wp14:anchorId="5576E3FE" wp14:editId="4CF90B35">
            <wp:simplePos x="0" y="0"/>
            <wp:positionH relativeFrom="margin">
              <wp:align>left</wp:align>
            </wp:positionH>
            <wp:positionV relativeFrom="paragraph">
              <wp:posOffset>327660</wp:posOffset>
            </wp:positionV>
            <wp:extent cx="2695575" cy="1903730"/>
            <wp:effectExtent l="0" t="0" r="9525" b="1270"/>
            <wp:wrapTight wrapText="bothSides">
              <wp:wrapPolygon edited="0">
                <wp:start x="0" y="0"/>
                <wp:lineTo x="0" y="21398"/>
                <wp:lineTo x="21524" y="21398"/>
                <wp:lineTo x="21524" y="0"/>
                <wp:lineTo x="0" y="0"/>
              </wp:wrapPolygon>
            </wp:wrapTight>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1903730"/>
                    </a:xfrm>
                    <a:prstGeom prst="rect">
                      <a:avLst/>
                    </a:prstGeom>
                  </pic:spPr>
                </pic:pic>
              </a:graphicData>
            </a:graphic>
            <wp14:sizeRelH relativeFrom="page">
              <wp14:pctWidth>0</wp14:pctWidth>
            </wp14:sizeRelH>
            <wp14:sizeRelV relativeFrom="page">
              <wp14:pctHeight>0</wp14:pctHeight>
            </wp14:sizeRelV>
          </wp:anchor>
        </w:drawing>
      </w:r>
      <w:r w:rsidR="00137A5E">
        <w:rPr>
          <w:b/>
        </w:rPr>
        <w:t>Visualization and Analysis of small-scale fisheries leading to Improved Management</w:t>
      </w:r>
    </w:p>
    <w:p w14:paraId="298AC3A2" w14:textId="3ED1D42F" w:rsidR="00137A5E" w:rsidRDefault="00137A5E" w:rsidP="00137A5E">
      <w:pPr>
        <w:ind w:left="720"/>
      </w:pPr>
      <w:r>
        <w:rPr>
          <w:rFonts w:ascii="Roboto" w:eastAsia="Roboto" w:hAnsi="Roboto" w:cs="Roboto"/>
          <w:color w:val="202124"/>
          <w:sz w:val="21"/>
          <w:szCs w:val="21"/>
          <w:highlight w:val="white"/>
        </w:rPr>
        <w:t xml:space="preserve">Visualization and analysis of small fisheries data will help find patterns and trends in fishing by small-scale fishers and </w:t>
      </w:r>
      <w:r>
        <w:t>help determine where and how much fishing is taking place. Combined with their local and historical knowledge, the small-scale fishery communities s will have a better understanding of their environment. Improved fisheries management will help recover the fish stocks and benefit communities.</w:t>
      </w:r>
    </w:p>
    <w:p w14:paraId="16E71D69" w14:textId="77777777" w:rsidR="00082577" w:rsidRDefault="00082577" w:rsidP="00137A5E">
      <w:pPr>
        <w:ind w:left="720"/>
      </w:pPr>
    </w:p>
    <w:p w14:paraId="0920EFA1" w14:textId="77777777" w:rsidR="00082577" w:rsidRDefault="00082577" w:rsidP="00137A5E">
      <w:pPr>
        <w:ind w:left="720"/>
      </w:pPr>
    </w:p>
    <w:p w14:paraId="4690D153" w14:textId="70760DC7" w:rsidR="00BA3D5E" w:rsidRPr="00BA3D5E" w:rsidRDefault="00BA3D5E" w:rsidP="00A4699F">
      <w:pPr>
        <w:pStyle w:val="Heading1"/>
      </w:pPr>
      <w:r w:rsidRPr="00BA3D5E">
        <w:t>Building disaster-resilient communities in Indonesia</w:t>
      </w:r>
    </w:p>
    <w:p w14:paraId="3CBB3977" w14:textId="60E3140B" w:rsidR="00BA3D5E" w:rsidRPr="00BA3D5E" w:rsidRDefault="00BA3D5E" w:rsidP="00BA3D5E">
      <w:pPr>
        <w:shd w:val="clear" w:color="auto" w:fill="FFFFFF"/>
        <w:spacing w:before="0" w:after="240"/>
        <w:rPr>
          <w:rFonts w:asciiTheme="minorHAnsi" w:eastAsia="Times New Roman" w:hAnsiTheme="minorHAnsi" w:cstheme="minorHAnsi"/>
          <w:sz w:val="24"/>
          <w:lang w:eastAsia="en-US"/>
        </w:rPr>
      </w:pPr>
      <w:r w:rsidRPr="00BA3D5E">
        <w:rPr>
          <w:rFonts w:asciiTheme="minorHAnsi" w:eastAsia="Times New Roman" w:hAnsiTheme="minorHAnsi" w:cstheme="minorHAnsi"/>
          <w:sz w:val="24"/>
          <w:lang w:eastAsia="en-US"/>
        </w:rPr>
        <w:t>Indonesia is one of the world’s most disaster-prone areas. In 2017 alone, Indonesia was affected by 2,341 floods, earthquakes, and other natural disasters that led to 3.49 million evacuations, nearly 50,000 damaged homes and public facilities, and 377 deaths.</w:t>
      </w:r>
    </w:p>
    <w:p w14:paraId="75985BAD" w14:textId="77777777" w:rsidR="00BA3D5E" w:rsidRPr="00BA3D5E" w:rsidRDefault="00BA3D5E" w:rsidP="00BA3D5E">
      <w:pPr>
        <w:shd w:val="clear" w:color="auto" w:fill="FFFFFF"/>
        <w:spacing w:before="0" w:after="240"/>
        <w:rPr>
          <w:rFonts w:asciiTheme="minorHAnsi" w:eastAsia="Times New Roman" w:hAnsiTheme="minorHAnsi" w:cstheme="minorHAnsi"/>
          <w:sz w:val="24"/>
          <w:lang w:eastAsia="en-US"/>
        </w:rPr>
      </w:pPr>
      <w:r w:rsidRPr="00BA3D5E">
        <w:rPr>
          <w:rFonts w:asciiTheme="minorHAnsi" w:eastAsia="Times New Roman" w:hAnsiTheme="minorHAnsi" w:cstheme="minorHAnsi"/>
          <w:sz w:val="24"/>
          <w:lang w:eastAsia="en-US"/>
        </w:rPr>
        <w:t>Wireless Reach collaborated with Atma Connect in Indonesia to launch </w:t>
      </w:r>
      <w:hyperlink r:id="rId14" w:history="1">
        <w:r w:rsidRPr="00BA3D5E">
          <w:rPr>
            <w:rFonts w:asciiTheme="minorHAnsi" w:eastAsia="Times New Roman" w:hAnsiTheme="minorHAnsi" w:cstheme="minorHAnsi"/>
            <w:sz w:val="24"/>
            <w:u w:val="single"/>
            <w:lang w:eastAsia="en-US"/>
          </w:rPr>
          <w:t>AtmaGo</w:t>
        </w:r>
      </w:hyperlink>
      <w:r w:rsidRPr="00BA3D5E">
        <w:rPr>
          <w:rFonts w:asciiTheme="minorHAnsi" w:eastAsia="Times New Roman" w:hAnsiTheme="minorHAnsi" w:cstheme="minorHAnsi"/>
          <w:sz w:val="24"/>
          <w:lang w:eastAsia="en-US"/>
        </w:rPr>
        <w:t>, an innovative mobile app that empowers users with information that can help save lives and reduce economic losses from a disaster. The app provides access to a neighborhood-level social network. More than 2.5 million people, most of whom are economically disadvantaged, use AtmaGo to connect, receive and share emergency warnings and real-time disaster news with their neighbors, take action to reduce their risk, and build social cohesion for strengthening their ability to bounce back.</w:t>
      </w:r>
    </w:p>
    <w:p w14:paraId="7101E6B1" w14:textId="77777777" w:rsidR="00BA3D5E" w:rsidRDefault="00BA3D5E" w:rsidP="00BA3D5E">
      <w:pPr>
        <w:shd w:val="clear" w:color="auto" w:fill="FFFFFF"/>
        <w:spacing w:before="0" w:after="240"/>
        <w:rPr>
          <w:rFonts w:asciiTheme="minorHAnsi" w:eastAsia="Times New Roman" w:hAnsiTheme="minorHAnsi" w:cstheme="minorHAnsi"/>
          <w:sz w:val="24"/>
          <w:lang w:eastAsia="en-US"/>
        </w:rPr>
      </w:pPr>
      <w:r w:rsidRPr="00BA3D5E">
        <w:rPr>
          <w:rFonts w:asciiTheme="minorHAnsi" w:eastAsia="Times New Roman" w:hAnsiTheme="minorHAnsi" w:cstheme="minorHAnsi"/>
          <w:sz w:val="24"/>
          <w:lang w:eastAsia="en-US"/>
        </w:rPr>
        <w:t>The tool’s emergency alerts have the potential to reduce disaster-related property damage by US $324 per household per year in the Jakarta region. By empowering people to take effective action, AtmaGo has the potential to reduce disaster-related morbidity and mortality by 643 years of healthy life lost per 100,000 population. And, by increasing women’s access to disaster-related information, the app is empowering women as key agents of community change and social cohesion.</w:t>
      </w:r>
    </w:p>
    <w:p w14:paraId="70FC1566" w14:textId="77777777" w:rsidR="00DB6295" w:rsidRDefault="00DB6295" w:rsidP="00BA3D5E">
      <w:pPr>
        <w:shd w:val="clear" w:color="auto" w:fill="FFFFFF"/>
        <w:spacing w:before="0" w:after="240"/>
        <w:rPr>
          <w:rFonts w:asciiTheme="minorHAnsi" w:eastAsia="Times New Roman" w:hAnsiTheme="minorHAnsi" w:cstheme="minorHAnsi"/>
          <w:sz w:val="24"/>
          <w:lang w:eastAsia="en-US"/>
        </w:rPr>
      </w:pPr>
      <w:r>
        <w:rPr>
          <w:rFonts w:asciiTheme="minorHAnsi" w:eastAsia="Times New Roman" w:hAnsiTheme="minorHAnsi" w:cstheme="minorHAnsi"/>
          <w:noProof/>
          <w:sz w:val="24"/>
          <w:lang w:eastAsia="en-US"/>
        </w:rPr>
        <w:lastRenderedPageBreak/>
        <w:drawing>
          <wp:inline distT="0" distB="0" distL="0" distR="0" wp14:anchorId="24BBCE87" wp14:editId="53EEE14A">
            <wp:extent cx="5943600" cy="3324860"/>
            <wp:effectExtent l="0" t="0" r="0" b="8890"/>
            <wp:docPr id="4" name="Picture 4"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mago survivor stor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24860"/>
                    </a:xfrm>
                    <a:prstGeom prst="rect">
                      <a:avLst/>
                    </a:prstGeom>
                  </pic:spPr>
                </pic:pic>
              </a:graphicData>
            </a:graphic>
          </wp:inline>
        </w:drawing>
      </w:r>
    </w:p>
    <w:p w14:paraId="68C593D4" w14:textId="77777777" w:rsidR="0007635C" w:rsidRDefault="0007635C" w:rsidP="00DB6295">
      <w:pPr>
        <w:pStyle w:val="Heading1"/>
      </w:pPr>
    </w:p>
    <w:p w14:paraId="11CDE910" w14:textId="51B7729B" w:rsidR="00DB6295" w:rsidRDefault="00DB6295" w:rsidP="00DB6295">
      <w:pPr>
        <w:pStyle w:val="Heading1"/>
      </w:pPr>
      <w:r w:rsidRPr="00DB6295">
        <w:t>THRIVE Indonesia - An Integrated, Mobile Health Information System Enhances Maternal and Neonatal Health Outcomes</w:t>
      </w:r>
    </w:p>
    <w:p w14:paraId="034E7651" w14:textId="05B473A9" w:rsidR="00F538CB" w:rsidRPr="00F140AA" w:rsidRDefault="0007635C" w:rsidP="0007635C">
      <w:pPr>
        <w:shd w:val="clear" w:color="auto" w:fill="FFFFFF"/>
        <w:spacing w:before="0" w:after="240"/>
        <w:rPr>
          <w:rFonts w:asciiTheme="minorHAnsi" w:eastAsia="Qualcomm Regular" w:hAnsiTheme="minorHAnsi" w:cstheme="minorHAnsi"/>
          <w:sz w:val="24"/>
        </w:rPr>
      </w:pPr>
      <w:r>
        <w:rPr>
          <w:noProof/>
        </w:rPr>
        <w:drawing>
          <wp:anchor distT="0" distB="0" distL="114300" distR="114300" simplePos="0" relativeHeight="251658240" behindDoc="1" locked="0" layoutInCell="1" allowOverlap="1" wp14:anchorId="6993AC26" wp14:editId="4538B1A4">
            <wp:simplePos x="0" y="0"/>
            <wp:positionH relativeFrom="column">
              <wp:posOffset>3893820</wp:posOffset>
            </wp:positionH>
            <wp:positionV relativeFrom="paragraph">
              <wp:posOffset>-224155</wp:posOffset>
            </wp:positionV>
            <wp:extent cx="2254250" cy="3381375"/>
            <wp:effectExtent l="0" t="0" r="0" b="9525"/>
            <wp:wrapTight wrapText="bothSides">
              <wp:wrapPolygon edited="0">
                <wp:start x="0" y="0"/>
                <wp:lineTo x="0" y="21539"/>
                <wp:lineTo x="21357" y="21539"/>
                <wp:lineTo x="21357" y="0"/>
                <wp:lineTo x="0" y="0"/>
              </wp:wrapPolygon>
            </wp:wrapTight>
            <wp:docPr id="7"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onesia Thrive Open SRP-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4250" cy="3381375"/>
                    </a:xfrm>
                    <a:prstGeom prst="rect">
                      <a:avLst/>
                    </a:prstGeom>
                  </pic:spPr>
                </pic:pic>
              </a:graphicData>
            </a:graphic>
          </wp:anchor>
        </w:drawing>
      </w:r>
      <w:r w:rsidR="00F538CB" w:rsidRPr="00F140AA">
        <w:rPr>
          <w:rFonts w:asciiTheme="minorHAnsi" w:eastAsia="Qualcomm Regular" w:hAnsiTheme="minorHAnsi" w:cstheme="minorHAnsi"/>
          <w:sz w:val="24"/>
        </w:rPr>
        <w:t>Frontline health workers (FLHWs) are the first and often the only point of contact for health care access for millions of people and form the backbone of the health system, especially in resource-constrained environments. However, FLHWs are often inadequately trained and have poor access to health information, tools</w:t>
      </w:r>
      <w:r w:rsidR="00FF50FC">
        <w:rPr>
          <w:rFonts w:asciiTheme="minorHAnsi" w:eastAsia="Qualcomm Regular" w:hAnsiTheme="minorHAnsi" w:cstheme="minorHAnsi"/>
          <w:sz w:val="24"/>
        </w:rPr>
        <w:t>,</w:t>
      </w:r>
      <w:r w:rsidR="00F538CB" w:rsidRPr="00F140AA">
        <w:rPr>
          <w:rFonts w:asciiTheme="minorHAnsi" w:eastAsia="Qualcomm Regular" w:hAnsiTheme="minorHAnsi" w:cstheme="minorHAnsi"/>
          <w:sz w:val="24"/>
        </w:rPr>
        <w:t xml:space="preserve"> and guidance. There is a clear and urgent need for an integrated health information system to reduce the workload of frontline health workers and provide data in real</w:t>
      </w:r>
      <w:r w:rsidR="00FF50FC">
        <w:rPr>
          <w:rFonts w:asciiTheme="minorHAnsi" w:eastAsia="Qualcomm Regular" w:hAnsiTheme="minorHAnsi" w:cstheme="minorHAnsi"/>
          <w:sz w:val="24"/>
        </w:rPr>
        <w:t>-</w:t>
      </w:r>
      <w:r w:rsidR="00F538CB" w:rsidRPr="00F140AA">
        <w:rPr>
          <w:rFonts w:asciiTheme="minorHAnsi" w:eastAsia="Qualcomm Regular" w:hAnsiTheme="minorHAnsi" w:cstheme="minorHAnsi"/>
          <w:sz w:val="24"/>
        </w:rPr>
        <w:t>time for program managers and to guide strategy and improve health outcomes.</w:t>
      </w:r>
    </w:p>
    <w:p w14:paraId="352FF6E2" w14:textId="2B03C116" w:rsidR="00F538CB" w:rsidRDefault="00F538CB" w:rsidP="00854BCC">
      <w:pPr>
        <w:spacing w:before="0" w:after="0"/>
        <w:jc w:val="both"/>
        <w:rPr>
          <w:rFonts w:asciiTheme="minorHAnsi" w:eastAsia="Qualcomm Regular" w:hAnsiTheme="minorHAnsi" w:cstheme="minorHAnsi"/>
          <w:sz w:val="24"/>
        </w:rPr>
      </w:pPr>
      <w:r w:rsidRPr="00F140AA">
        <w:rPr>
          <w:rFonts w:asciiTheme="minorHAnsi" w:eastAsia="Qualcomm Regular" w:hAnsiTheme="minorHAnsi" w:cstheme="minorHAnsi"/>
          <w:sz w:val="24"/>
        </w:rPr>
        <w:t>The THRIVE Indonesia program in Indonesia is part of a multi-country research study led by the WHO and implemented by Summit Institute of Development (SID) to increase the quality of care provided by the front-line health workers using OpenSRP application as an integrated electronic mobile health platform. OpenSRP combines data collection, client management</w:t>
      </w:r>
      <w:r w:rsidR="006C2A52">
        <w:rPr>
          <w:rFonts w:asciiTheme="minorHAnsi" w:eastAsia="Qualcomm Regular" w:hAnsiTheme="minorHAnsi" w:cstheme="minorHAnsi"/>
          <w:sz w:val="24"/>
        </w:rPr>
        <w:t>,</w:t>
      </w:r>
      <w:r w:rsidRPr="00F140AA">
        <w:rPr>
          <w:rFonts w:asciiTheme="minorHAnsi" w:eastAsia="Qualcomm Regular" w:hAnsiTheme="minorHAnsi" w:cstheme="minorHAnsi"/>
          <w:sz w:val="24"/>
        </w:rPr>
        <w:t xml:space="preserve"> and reporting workflows into one linked mobile interface and allows health workers to access client </w:t>
      </w:r>
      <w:r w:rsidRPr="00F140AA">
        <w:rPr>
          <w:rFonts w:asciiTheme="minorHAnsi" w:eastAsia="Qualcomm Regular" w:hAnsiTheme="minorHAnsi" w:cstheme="minorHAnsi"/>
          <w:sz w:val="24"/>
        </w:rPr>
        <w:lastRenderedPageBreak/>
        <w:t xml:space="preserve">information and decision-support </w:t>
      </w:r>
      <w:r w:rsidR="008C44C5" w:rsidRPr="00F140AA">
        <w:rPr>
          <w:rFonts w:asciiTheme="minorHAnsi" w:eastAsia="Qualcomm Regular" w:hAnsiTheme="minorHAnsi" w:cstheme="minorHAnsi"/>
          <w:sz w:val="24"/>
        </w:rPr>
        <w:t>tools. Participating</w:t>
      </w:r>
      <w:r w:rsidRPr="00F140AA">
        <w:rPr>
          <w:rFonts w:asciiTheme="minorHAnsi" w:eastAsia="Qualcomm Regular" w:hAnsiTheme="minorHAnsi" w:cstheme="minorHAnsi"/>
          <w:sz w:val="24"/>
        </w:rPr>
        <w:t xml:space="preserve"> FHWs use tablets pre-loaded with midwife, vaccinator, nutritionist and early child development professional applications. All participants receive training in the use of </w:t>
      </w:r>
      <w:r w:rsidR="008C44C5" w:rsidRPr="00F140AA">
        <w:rPr>
          <w:rFonts w:asciiTheme="minorHAnsi" w:eastAsia="Qualcomm Regular" w:hAnsiTheme="minorHAnsi" w:cstheme="minorHAnsi"/>
          <w:sz w:val="24"/>
        </w:rPr>
        <w:t>technology. Real</w:t>
      </w:r>
      <w:r w:rsidRPr="00F140AA">
        <w:rPr>
          <w:rFonts w:asciiTheme="minorHAnsi" w:eastAsia="Qualcomm Regular" w:hAnsiTheme="minorHAnsi" w:cstheme="minorHAnsi"/>
          <w:sz w:val="24"/>
        </w:rPr>
        <w:t>-time data sharing enable</w:t>
      </w:r>
      <w:r w:rsidR="00345B01">
        <w:rPr>
          <w:rFonts w:asciiTheme="minorHAnsi" w:eastAsia="Qualcomm Regular" w:hAnsiTheme="minorHAnsi" w:cstheme="minorHAnsi"/>
          <w:sz w:val="24"/>
        </w:rPr>
        <w:t>s</w:t>
      </w:r>
      <w:r w:rsidRPr="00F140AA">
        <w:rPr>
          <w:rFonts w:asciiTheme="minorHAnsi" w:eastAsia="Qualcomm Regular" w:hAnsiTheme="minorHAnsi" w:cstheme="minorHAnsi"/>
          <w:sz w:val="24"/>
        </w:rPr>
        <w:t xml:space="preserve"> multiple FHWs in the same area to coordinate more efficiently; active feedback from FHWs and coaching from SID </w:t>
      </w:r>
      <w:r w:rsidR="00970C8C">
        <w:rPr>
          <w:rFonts w:asciiTheme="minorHAnsi" w:eastAsia="Qualcomm Regular" w:hAnsiTheme="minorHAnsi" w:cstheme="minorHAnsi"/>
          <w:sz w:val="24"/>
        </w:rPr>
        <w:t xml:space="preserve">helps </w:t>
      </w:r>
      <w:r w:rsidRPr="00F140AA">
        <w:rPr>
          <w:rFonts w:asciiTheme="minorHAnsi" w:hAnsiTheme="minorHAnsi" w:cstheme="minorHAnsi"/>
          <w:sz w:val="24"/>
        </w:rPr>
        <w:t>improve frontline health workers</w:t>
      </w:r>
      <w:r w:rsidR="006C2A52">
        <w:rPr>
          <w:rFonts w:asciiTheme="minorHAnsi" w:hAnsiTheme="minorHAnsi" w:cstheme="minorHAnsi"/>
          <w:sz w:val="24"/>
        </w:rPr>
        <w:t>'</w:t>
      </w:r>
      <w:r w:rsidRPr="00F140AA">
        <w:rPr>
          <w:rFonts w:asciiTheme="minorHAnsi" w:hAnsiTheme="minorHAnsi" w:cstheme="minorHAnsi"/>
          <w:sz w:val="24"/>
        </w:rPr>
        <w:t xml:space="preserve"> performance such as the coverage of </w:t>
      </w:r>
      <w:r w:rsidR="00970C8C">
        <w:rPr>
          <w:rFonts w:asciiTheme="minorHAnsi" w:hAnsiTheme="minorHAnsi" w:cstheme="minorHAnsi"/>
          <w:sz w:val="24"/>
        </w:rPr>
        <w:t xml:space="preserve">beneficiaries, </w:t>
      </w:r>
      <w:r w:rsidRPr="00F140AA">
        <w:rPr>
          <w:rFonts w:asciiTheme="minorHAnsi" w:hAnsiTheme="minorHAnsi" w:cstheme="minorHAnsi"/>
          <w:sz w:val="24"/>
        </w:rPr>
        <w:t>on-time submission</w:t>
      </w:r>
      <w:r w:rsidR="00970C8C">
        <w:rPr>
          <w:rFonts w:asciiTheme="minorHAnsi" w:hAnsiTheme="minorHAnsi" w:cstheme="minorHAnsi"/>
          <w:sz w:val="24"/>
        </w:rPr>
        <w:t xml:space="preserve"> of data</w:t>
      </w:r>
      <w:r w:rsidRPr="00F140AA">
        <w:rPr>
          <w:rFonts w:asciiTheme="minorHAnsi" w:hAnsiTheme="minorHAnsi" w:cstheme="minorHAnsi"/>
          <w:sz w:val="24"/>
        </w:rPr>
        <w:t xml:space="preserve">, </w:t>
      </w:r>
      <w:r w:rsidR="00C02BD7">
        <w:rPr>
          <w:rFonts w:asciiTheme="minorHAnsi" w:hAnsiTheme="minorHAnsi" w:cstheme="minorHAnsi"/>
          <w:sz w:val="24"/>
        </w:rPr>
        <w:t xml:space="preserve">improvement in </w:t>
      </w:r>
      <w:r w:rsidRPr="00F140AA">
        <w:rPr>
          <w:rFonts w:asciiTheme="minorHAnsi" w:hAnsiTheme="minorHAnsi" w:cstheme="minorHAnsi"/>
          <w:sz w:val="24"/>
        </w:rPr>
        <w:t xml:space="preserve">data completeness, as well as data quality. In addition, </w:t>
      </w:r>
      <w:r w:rsidRPr="00F140AA">
        <w:rPr>
          <w:rFonts w:asciiTheme="minorHAnsi" w:eastAsia="Qualcomm Regular" w:hAnsiTheme="minorHAnsi" w:cstheme="minorHAnsi"/>
          <w:sz w:val="24"/>
        </w:rPr>
        <w:t xml:space="preserve">SMS for service reminders and health promotion increase compliance and </w:t>
      </w:r>
      <w:r w:rsidR="00C02BD7">
        <w:rPr>
          <w:rFonts w:asciiTheme="minorHAnsi" w:eastAsia="Qualcomm Regular" w:hAnsiTheme="minorHAnsi" w:cstheme="minorHAnsi"/>
          <w:sz w:val="24"/>
        </w:rPr>
        <w:t xml:space="preserve">delivery of timely </w:t>
      </w:r>
      <w:r w:rsidRPr="00F140AA">
        <w:rPr>
          <w:rFonts w:asciiTheme="minorHAnsi" w:eastAsia="Qualcomm Regular" w:hAnsiTheme="minorHAnsi" w:cstheme="minorHAnsi"/>
          <w:sz w:val="24"/>
        </w:rPr>
        <w:t>services</w:t>
      </w:r>
      <w:r w:rsidR="00C02BD7">
        <w:rPr>
          <w:rFonts w:asciiTheme="minorHAnsi" w:eastAsia="Qualcomm Regular" w:hAnsiTheme="minorHAnsi" w:cstheme="minorHAnsi"/>
          <w:sz w:val="24"/>
        </w:rPr>
        <w:t>.</w:t>
      </w:r>
      <w:r w:rsidRPr="00F140AA">
        <w:rPr>
          <w:rFonts w:asciiTheme="minorHAnsi" w:eastAsia="Qualcomm Regular" w:hAnsiTheme="minorHAnsi" w:cstheme="minorHAnsi"/>
          <w:sz w:val="24"/>
        </w:rPr>
        <w:t xml:space="preserve"> </w:t>
      </w:r>
    </w:p>
    <w:p w14:paraId="4A134108" w14:textId="77FD60BC" w:rsidR="0007635C" w:rsidRDefault="0007635C" w:rsidP="00854BCC">
      <w:pPr>
        <w:spacing w:before="0" w:after="0"/>
        <w:jc w:val="both"/>
        <w:rPr>
          <w:rFonts w:asciiTheme="minorHAnsi" w:eastAsia="Qualcomm Regular" w:hAnsiTheme="minorHAnsi" w:cstheme="minorHAnsi"/>
          <w:sz w:val="24"/>
        </w:rPr>
      </w:pPr>
    </w:p>
    <w:p w14:paraId="06A91413" w14:textId="3BD9F0DB" w:rsidR="00114B1F" w:rsidRPr="00114B1F" w:rsidRDefault="00114B1F" w:rsidP="000674B6">
      <w:pPr>
        <w:spacing w:before="0" w:after="0"/>
        <w:jc w:val="both"/>
        <w:rPr>
          <w:rFonts w:asciiTheme="minorHAnsi" w:eastAsia="Qualcomm Light" w:hAnsiTheme="minorHAnsi" w:cstheme="minorHAnsi"/>
          <w:b/>
          <w:sz w:val="24"/>
        </w:rPr>
      </w:pPr>
      <w:r w:rsidRPr="00114B1F">
        <w:rPr>
          <w:rFonts w:asciiTheme="minorHAnsi" w:eastAsia="Qualcomm Light" w:hAnsiTheme="minorHAnsi" w:cstheme="minorHAnsi"/>
          <w:b/>
          <w:sz w:val="24"/>
        </w:rPr>
        <w:t>Impact of the program</w:t>
      </w:r>
    </w:p>
    <w:p w14:paraId="4122769C" w14:textId="77777777" w:rsidR="0007635C" w:rsidRDefault="0007635C" w:rsidP="000674B6">
      <w:pPr>
        <w:spacing w:before="0" w:after="0"/>
        <w:jc w:val="both"/>
        <w:rPr>
          <w:rFonts w:asciiTheme="minorHAnsi" w:eastAsia="Qualcomm Light" w:hAnsiTheme="minorHAnsi" w:cstheme="minorHAnsi"/>
          <w:sz w:val="24"/>
        </w:rPr>
      </w:pPr>
    </w:p>
    <w:p w14:paraId="56E2F83D" w14:textId="129066B8" w:rsidR="00114B1F" w:rsidRDefault="0007635C" w:rsidP="00F538CB">
      <w:pPr>
        <w:spacing w:before="0" w:after="0"/>
        <w:jc w:val="both"/>
        <w:rPr>
          <w:rFonts w:asciiTheme="minorHAnsi" w:hAnsiTheme="minorHAnsi" w:cstheme="minorHAnsi"/>
          <w:sz w:val="24"/>
        </w:rPr>
      </w:pPr>
      <w:r>
        <w:rPr>
          <w:rFonts w:eastAsia="Times New Roman" w:cstheme="minorHAnsi"/>
          <w:noProof/>
          <w:sz w:val="24"/>
        </w:rPr>
        <w:drawing>
          <wp:anchor distT="0" distB="0" distL="114300" distR="114300" simplePos="0" relativeHeight="251659264" behindDoc="0" locked="0" layoutInCell="1" allowOverlap="1" wp14:anchorId="25151B03" wp14:editId="1B5E7152">
            <wp:simplePos x="0" y="0"/>
            <wp:positionH relativeFrom="column">
              <wp:posOffset>0</wp:posOffset>
            </wp:positionH>
            <wp:positionV relativeFrom="paragraph">
              <wp:posOffset>-3175</wp:posOffset>
            </wp:positionV>
            <wp:extent cx="3441700" cy="2290882"/>
            <wp:effectExtent l="0" t="0" r="6350" b="0"/>
            <wp:wrapSquare wrapText="bothSides"/>
            <wp:docPr id="5" name="Picture 5" descr="A picture containing person, indoor, woma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onesia%20Thrive%20Open%20SRP-33_jpg.jpg"/>
                    <pic:cNvPicPr/>
                  </pic:nvPicPr>
                  <pic:blipFill>
                    <a:blip r:embed="rId17">
                      <a:extLst>
                        <a:ext uri="{28A0092B-C50C-407E-A947-70E740481C1C}">
                          <a14:useLocalDpi xmlns:a14="http://schemas.microsoft.com/office/drawing/2010/main" val="0"/>
                        </a:ext>
                      </a:extLst>
                    </a:blip>
                    <a:stretch>
                      <a:fillRect/>
                    </a:stretch>
                  </pic:blipFill>
                  <pic:spPr>
                    <a:xfrm>
                      <a:off x="0" y="0"/>
                      <a:ext cx="3441700" cy="2290882"/>
                    </a:xfrm>
                    <a:prstGeom prst="rect">
                      <a:avLst/>
                    </a:prstGeom>
                  </pic:spPr>
                </pic:pic>
              </a:graphicData>
            </a:graphic>
          </wp:anchor>
        </w:drawing>
      </w:r>
      <w:r w:rsidR="000674B6">
        <w:rPr>
          <w:rFonts w:asciiTheme="minorHAnsi" w:eastAsia="Qualcomm Light" w:hAnsiTheme="minorHAnsi" w:cstheme="minorHAnsi"/>
          <w:sz w:val="24"/>
        </w:rPr>
        <w:t xml:space="preserve">The program has served </w:t>
      </w:r>
      <w:r w:rsidR="000674B6" w:rsidRPr="00F140AA">
        <w:rPr>
          <w:rFonts w:asciiTheme="minorHAnsi" w:eastAsia="Qualcomm Light" w:hAnsiTheme="minorHAnsi" w:cstheme="minorHAnsi"/>
          <w:sz w:val="24"/>
        </w:rPr>
        <w:t xml:space="preserve">over </w:t>
      </w:r>
      <w:r w:rsidR="0076133A">
        <w:rPr>
          <w:rFonts w:asciiTheme="minorHAnsi" w:eastAsia="Qualcomm Light" w:hAnsiTheme="minorHAnsi" w:cstheme="minorHAnsi"/>
          <w:sz w:val="24"/>
        </w:rPr>
        <w:t xml:space="preserve">32,000 pregnant women, new mothers and infants in </w:t>
      </w:r>
      <w:r w:rsidR="00CC46F6">
        <w:rPr>
          <w:rFonts w:asciiTheme="minorHAnsi" w:eastAsia="Qualcomm Light" w:hAnsiTheme="minorHAnsi" w:cstheme="minorHAnsi"/>
          <w:sz w:val="24"/>
        </w:rPr>
        <w:t xml:space="preserve">Lombok, </w:t>
      </w:r>
      <w:r w:rsidR="000674B6" w:rsidRPr="00F140AA">
        <w:rPr>
          <w:rFonts w:asciiTheme="minorHAnsi" w:eastAsia="Qualcomm Light" w:hAnsiTheme="minorHAnsi" w:cstheme="minorHAnsi"/>
          <w:sz w:val="24"/>
        </w:rPr>
        <w:t>West Pasaman</w:t>
      </w:r>
      <w:r w:rsidR="00CC46F6">
        <w:rPr>
          <w:rFonts w:asciiTheme="minorHAnsi" w:eastAsia="Qualcomm Light" w:hAnsiTheme="minorHAnsi" w:cstheme="minorHAnsi"/>
          <w:sz w:val="24"/>
        </w:rPr>
        <w:t xml:space="preserve"> </w:t>
      </w:r>
      <w:r w:rsidR="0094587C">
        <w:rPr>
          <w:rFonts w:asciiTheme="minorHAnsi" w:eastAsia="Qualcomm Light" w:hAnsiTheme="minorHAnsi" w:cstheme="minorHAnsi"/>
          <w:sz w:val="24"/>
        </w:rPr>
        <w:t xml:space="preserve">in </w:t>
      </w:r>
      <w:r w:rsidR="0094587C" w:rsidRPr="00F140AA">
        <w:rPr>
          <w:rFonts w:asciiTheme="minorHAnsi" w:hAnsiTheme="minorHAnsi" w:cstheme="minorHAnsi"/>
          <w:sz w:val="24"/>
        </w:rPr>
        <w:t>West Sumatera Province</w:t>
      </w:r>
      <w:r w:rsidR="00F724C6">
        <w:rPr>
          <w:rFonts w:asciiTheme="minorHAnsi" w:hAnsiTheme="minorHAnsi" w:cstheme="minorHAnsi"/>
          <w:sz w:val="24"/>
        </w:rPr>
        <w:t>,</w:t>
      </w:r>
      <w:r w:rsidR="0094587C">
        <w:rPr>
          <w:rFonts w:asciiTheme="minorHAnsi" w:eastAsia="Qualcomm Light" w:hAnsiTheme="minorHAnsi" w:cstheme="minorHAnsi"/>
          <w:sz w:val="24"/>
        </w:rPr>
        <w:t xml:space="preserve"> </w:t>
      </w:r>
      <w:r w:rsidR="000674B6" w:rsidRPr="00F140AA">
        <w:rPr>
          <w:rFonts w:asciiTheme="minorHAnsi" w:eastAsia="Qualcomm Light" w:hAnsiTheme="minorHAnsi" w:cstheme="minorHAnsi"/>
          <w:sz w:val="24"/>
        </w:rPr>
        <w:t>Banggai</w:t>
      </w:r>
      <w:r w:rsidR="0094587C">
        <w:rPr>
          <w:rFonts w:asciiTheme="minorHAnsi" w:eastAsia="Qualcomm Light" w:hAnsiTheme="minorHAnsi" w:cstheme="minorHAnsi"/>
          <w:sz w:val="24"/>
        </w:rPr>
        <w:t xml:space="preserve"> in </w:t>
      </w:r>
      <w:r w:rsidR="0094587C" w:rsidRPr="00F140AA">
        <w:rPr>
          <w:rFonts w:asciiTheme="minorHAnsi" w:hAnsiTheme="minorHAnsi" w:cstheme="minorHAnsi"/>
          <w:sz w:val="24"/>
        </w:rPr>
        <w:t>Central Sulawesi Province</w:t>
      </w:r>
      <w:r w:rsidR="00F724C6">
        <w:rPr>
          <w:rFonts w:asciiTheme="minorHAnsi" w:hAnsiTheme="minorHAnsi" w:cstheme="minorHAnsi"/>
          <w:sz w:val="24"/>
        </w:rPr>
        <w:t xml:space="preserve"> </w:t>
      </w:r>
      <w:proofErr w:type="gramStart"/>
      <w:r w:rsidR="00F724C6">
        <w:rPr>
          <w:rFonts w:asciiTheme="minorHAnsi" w:hAnsiTheme="minorHAnsi" w:cstheme="minorHAnsi"/>
          <w:sz w:val="24"/>
        </w:rPr>
        <w:t xml:space="preserve">and  </w:t>
      </w:r>
      <w:proofErr w:type="spellStart"/>
      <w:r w:rsidR="00F724C6" w:rsidRPr="00F724C6">
        <w:rPr>
          <w:rFonts w:asciiTheme="minorHAnsi" w:hAnsiTheme="minorHAnsi" w:cstheme="minorHAnsi"/>
          <w:sz w:val="24"/>
        </w:rPr>
        <w:t>Magelang</w:t>
      </w:r>
      <w:proofErr w:type="spellEnd"/>
      <w:proofErr w:type="gramEnd"/>
      <w:r w:rsidR="00F724C6" w:rsidRPr="00F724C6">
        <w:rPr>
          <w:rFonts w:asciiTheme="minorHAnsi" w:hAnsiTheme="minorHAnsi" w:cstheme="minorHAnsi"/>
          <w:sz w:val="24"/>
        </w:rPr>
        <w:t xml:space="preserve"> </w:t>
      </w:r>
      <w:r w:rsidR="00F724C6">
        <w:rPr>
          <w:rFonts w:asciiTheme="minorHAnsi" w:hAnsiTheme="minorHAnsi" w:cstheme="minorHAnsi"/>
          <w:sz w:val="24"/>
        </w:rPr>
        <w:t>in Central Java Province.</w:t>
      </w:r>
    </w:p>
    <w:p w14:paraId="5C99C7BC" w14:textId="77777777" w:rsidR="00F724C6" w:rsidRDefault="00F724C6" w:rsidP="00F538CB">
      <w:pPr>
        <w:spacing w:before="0" w:after="0"/>
        <w:jc w:val="both"/>
        <w:rPr>
          <w:rFonts w:asciiTheme="minorHAnsi" w:eastAsia="Qualcomm Bold" w:hAnsiTheme="minorHAnsi" w:cstheme="minorHAnsi"/>
          <w:b/>
          <w:sz w:val="24"/>
        </w:rPr>
      </w:pPr>
    </w:p>
    <w:p w14:paraId="1831E88C" w14:textId="68017454" w:rsidR="00F538CB" w:rsidRPr="00F140AA" w:rsidRDefault="00F538CB" w:rsidP="00F538CB">
      <w:pPr>
        <w:spacing w:before="0" w:after="0"/>
        <w:jc w:val="both"/>
        <w:rPr>
          <w:rFonts w:asciiTheme="minorHAnsi" w:eastAsia="Qualcomm Light" w:hAnsiTheme="minorHAnsi" w:cstheme="minorHAnsi"/>
          <w:sz w:val="24"/>
        </w:rPr>
      </w:pPr>
      <w:r w:rsidRPr="00F140AA">
        <w:rPr>
          <w:rFonts w:asciiTheme="minorHAnsi" w:eastAsia="Qualcomm Light" w:hAnsiTheme="minorHAnsi" w:cstheme="minorHAnsi"/>
          <w:sz w:val="24"/>
        </w:rPr>
        <w:t>OpenSRP platform has enabled FHWs to conduct ANC, PNC</w:t>
      </w:r>
      <w:r w:rsidR="001C29C8">
        <w:rPr>
          <w:rFonts w:asciiTheme="minorHAnsi" w:eastAsia="Qualcomm Light" w:hAnsiTheme="minorHAnsi" w:cstheme="minorHAnsi"/>
          <w:sz w:val="24"/>
        </w:rPr>
        <w:t>,</w:t>
      </w:r>
      <w:r w:rsidRPr="00F140AA">
        <w:rPr>
          <w:rFonts w:asciiTheme="minorHAnsi" w:eastAsia="Qualcomm Light" w:hAnsiTheme="minorHAnsi" w:cstheme="minorHAnsi"/>
          <w:sz w:val="24"/>
        </w:rPr>
        <w:t xml:space="preserve"> and home visits to more mothers on time and with </w:t>
      </w:r>
      <w:r w:rsidR="001C29C8">
        <w:rPr>
          <w:rFonts w:asciiTheme="minorHAnsi" w:eastAsia="Qualcomm Light" w:hAnsiTheme="minorHAnsi" w:cstheme="minorHAnsi"/>
          <w:sz w:val="24"/>
        </w:rPr>
        <w:t>high</w:t>
      </w:r>
      <w:r w:rsidRPr="00F140AA">
        <w:rPr>
          <w:rFonts w:asciiTheme="minorHAnsi" w:eastAsia="Qualcomm Light" w:hAnsiTheme="minorHAnsi" w:cstheme="minorHAnsi"/>
          <w:sz w:val="24"/>
        </w:rPr>
        <w:t>er completion of required tasks, resulting in 6% improved quality of care and timeliness of service delivery on average across all villages in the preliminary research pilot.</w:t>
      </w:r>
    </w:p>
    <w:p w14:paraId="4DB2EF11" w14:textId="77777777" w:rsidR="00F538CB" w:rsidRPr="00F140AA" w:rsidRDefault="00F538CB" w:rsidP="00F538CB">
      <w:pPr>
        <w:spacing w:before="0" w:after="0"/>
        <w:rPr>
          <w:rFonts w:asciiTheme="minorHAnsi" w:eastAsia="Qualcomm Light" w:hAnsiTheme="minorHAnsi" w:cstheme="minorHAnsi"/>
          <w:sz w:val="24"/>
        </w:rPr>
      </w:pPr>
    </w:p>
    <w:p w14:paraId="7C16D79C" w14:textId="6915A534" w:rsidR="00F538CB" w:rsidRPr="00F140AA" w:rsidRDefault="00F538CB" w:rsidP="004C0121">
      <w:pPr>
        <w:spacing w:before="0" w:after="0"/>
        <w:jc w:val="both"/>
        <w:rPr>
          <w:rFonts w:asciiTheme="minorHAnsi" w:eastAsia="Qualcomm Bold" w:hAnsiTheme="minorHAnsi" w:cstheme="minorHAnsi"/>
          <w:sz w:val="24"/>
        </w:rPr>
      </w:pPr>
      <w:r w:rsidRPr="00F140AA">
        <w:rPr>
          <w:rFonts w:asciiTheme="minorHAnsi" w:eastAsia="Qualcomm Light" w:hAnsiTheme="minorHAnsi" w:cstheme="minorHAnsi"/>
          <w:sz w:val="24"/>
        </w:rPr>
        <w:t xml:space="preserve">Based on analysis of over 6500 registered pregnancies in the deployment areas, including over 24,000 ANC visits, and 3,200 PNC visits, </w:t>
      </w:r>
      <w:r w:rsidR="00501542">
        <w:rPr>
          <w:rFonts w:asciiTheme="minorHAnsi" w:eastAsia="Qualcomm Light" w:hAnsiTheme="minorHAnsi" w:cstheme="minorHAnsi"/>
          <w:sz w:val="24"/>
        </w:rPr>
        <w:t xml:space="preserve">there has been </w:t>
      </w:r>
      <w:r w:rsidRPr="00F140AA">
        <w:rPr>
          <w:rFonts w:asciiTheme="minorHAnsi" w:eastAsia="Qualcomm Light" w:hAnsiTheme="minorHAnsi" w:cstheme="minorHAnsi"/>
          <w:sz w:val="24"/>
        </w:rPr>
        <w:t xml:space="preserve">19% increase for overall antenatal care coverage, a two times higher coverage in four or more antenatal care visits. Maternal postnatal care coverage improved from 1% in the control area to 45% in the intervention. Neonatal postnatal care increased from 3% in the control area to 33% in the intervention area and </w:t>
      </w:r>
      <w:r w:rsidR="00501542">
        <w:rPr>
          <w:rFonts w:asciiTheme="minorHAnsi" w:eastAsia="Qualcomm Light" w:hAnsiTheme="minorHAnsi" w:cstheme="minorHAnsi"/>
          <w:sz w:val="24"/>
        </w:rPr>
        <w:t xml:space="preserve">there was </w:t>
      </w:r>
      <w:r w:rsidRPr="00F140AA">
        <w:rPr>
          <w:rFonts w:asciiTheme="minorHAnsi" w:eastAsia="Qualcomm Light" w:hAnsiTheme="minorHAnsi" w:cstheme="minorHAnsi"/>
          <w:sz w:val="24"/>
        </w:rPr>
        <w:t>2x higher coverage of fully vaccinated kids at one-year-old in the intervention area. There was also a 19% drop in overall maternal-neonatal mortality in the intervention area compared to the control area.</w:t>
      </w:r>
    </w:p>
    <w:sectPr w:rsidR="00F538CB" w:rsidRPr="00F140AA">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3A599" w14:textId="77777777" w:rsidR="004D304E" w:rsidRDefault="004D304E" w:rsidP="0055405A">
      <w:pPr>
        <w:spacing w:before="0" w:after="0"/>
      </w:pPr>
      <w:r>
        <w:separator/>
      </w:r>
    </w:p>
  </w:endnote>
  <w:endnote w:type="continuationSeparator" w:id="0">
    <w:p w14:paraId="2A9DE341" w14:textId="77777777" w:rsidR="004D304E" w:rsidRDefault="004D304E" w:rsidP="0055405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Qualcomm Regular">
    <w:altName w:val="Calibri"/>
    <w:charset w:val="00"/>
    <w:family w:val="auto"/>
    <w:pitch w:val="default"/>
  </w:font>
  <w:font w:name="Qualcomm Light">
    <w:altName w:val="Calibri"/>
    <w:charset w:val="00"/>
    <w:family w:val="auto"/>
    <w:pitch w:val="default"/>
  </w:font>
  <w:font w:name="Qualcomm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964951"/>
      <w:docPartObj>
        <w:docPartGallery w:val="Page Numbers (Bottom of Page)"/>
        <w:docPartUnique/>
      </w:docPartObj>
    </w:sdtPr>
    <w:sdtEndPr>
      <w:rPr>
        <w:noProof/>
      </w:rPr>
    </w:sdtEndPr>
    <w:sdtContent>
      <w:p w14:paraId="2F036C8C" w14:textId="7E9508DF" w:rsidR="0055405A" w:rsidRDefault="005540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DD7CF7" w14:textId="77777777" w:rsidR="0055405A" w:rsidRDefault="00554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18FD" w14:textId="77777777" w:rsidR="004D304E" w:rsidRDefault="004D304E" w:rsidP="0055405A">
      <w:pPr>
        <w:spacing w:before="0" w:after="0"/>
      </w:pPr>
      <w:r>
        <w:separator/>
      </w:r>
    </w:p>
  </w:footnote>
  <w:footnote w:type="continuationSeparator" w:id="0">
    <w:p w14:paraId="01CF084B" w14:textId="77777777" w:rsidR="004D304E" w:rsidRDefault="004D304E" w:rsidP="0055405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55D3"/>
    <w:multiLevelType w:val="multilevel"/>
    <w:tmpl w:val="8E861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C96EF7"/>
    <w:multiLevelType w:val="multilevel"/>
    <w:tmpl w:val="7A20ADC4"/>
    <w:lvl w:ilvl="0">
      <w:start w:val="1"/>
      <w:numFmt w:val="decimal"/>
      <w:lvlText w:val="%1."/>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20951C8F"/>
    <w:multiLevelType w:val="multilevel"/>
    <w:tmpl w:val="91CCB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370448"/>
    <w:multiLevelType w:val="multilevel"/>
    <w:tmpl w:val="E950387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18696368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5635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752979">
    <w:abstractNumId w:val="2"/>
  </w:num>
  <w:num w:numId="4" w16cid:durableId="1010718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97"/>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yMjAyNzI2NrIwM7VU0lEKTi0uzszPAykwrgUADTOzJiwAAAA="/>
  </w:docVars>
  <w:rsids>
    <w:rsidRoot w:val="00BA3D5E"/>
    <w:rsid w:val="00043299"/>
    <w:rsid w:val="000674B6"/>
    <w:rsid w:val="0007635C"/>
    <w:rsid w:val="00082577"/>
    <w:rsid w:val="000C17F7"/>
    <w:rsid w:val="000C4965"/>
    <w:rsid w:val="000D4D3E"/>
    <w:rsid w:val="000D7280"/>
    <w:rsid w:val="000E27D2"/>
    <w:rsid w:val="0010144D"/>
    <w:rsid w:val="001079DC"/>
    <w:rsid w:val="00114B1F"/>
    <w:rsid w:val="001162E6"/>
    <w:rsid w:val="00124888"/>
    <w:rsid w:val="00137A5E"/>
    <w:rsid w:val="00140732"/>
    <w:rsid w:val="001433C2"/>
    <w:rsid w:val="001448AC"/>
    <w:rsid w:val="00150649"/>
    <w:rsid w:val="00153F85"/>
    <w:rsid w:val="001A1273"/>
    <w:rsid w:val="001A1FC1"/>
    <w:rsid w:val="001C29C8"/>
    <w:rsid w:val="001C6E63"/>
    <w:rsid w:val="001D02D1"/>
    <w:rsid w:val="001E2215"/>
    <w:rsid w:val="001F7DBF"/>
    <w:rsid w:val="0020525F"/>
    <w:rsid w:val="0022141C"/>
    <w:rsid w:val="0022164F"/>
    <w:rsid w:val="00222CF9"/>
    <w:rsid w:val="00233A7B"/>
    <w:rsid w:val="00233CAD"/>
    <w:rsid w:val="00250460"/>
    <w:rsid w:val="0026371C"/>
    <w:rsid w:val="0027110C"/>
    <w:rsid w:val="00280388"/>
    <w:rsid w:val="002A5D53"/>
    <w:rsid w:val="002B1952"/>
    <w:rsid w:val="002B2304"/>
    <w:rsid w:val="002B54C2"/>
    <w:rsid w:val="002D07D8"/>
    <w:rsid w:val="002E357B"/>
    <w:rsid w:val="002F4E6C"/>
    <w:rsid w:val="00302F80"/>
    <w:rsid w:val="00307E66"/>
    <w:rsid w:val="00324D37"/>
    <w:rsid w:val="00327E9E"/>
    <w:rsid w:val="00345B01"/>
    <w:rsid w:val="0037139F"/>
    <w:rsid w:val="003A1445"/>
    <w:rsid w:val="003D234B"/>
    <w:rsid w:val="003E4614"/>
    <w:rsid w:val="003E6F25"/>
    <w:rsid w:val="003E7524"/>
    <w:rsid w:val="00400FEC"/>
    <w:rsid w:val="004106B3"/>
    <w:rsid w:val="004204EC"/>
    <w:rsid w:val="00442351"/>
    <w:rsid w:val="004438ED"/>
    <w:rsid w:val="00446037"/>
    <w:rsid w:val="00450978"/>
    <w:rsid w:val="00454DAB"/>
    <w:rsid w:val="00456BE7"/>
    <w:rsid w:val="0048198C"/>
    <w:rsid w:val="004A2321"/>
    <w:rsid w:val="004B48DE"/>
    <w:rsid w:val="004B72CF"/>
    <w:rsid w:val="004C0121"/>
    <w:rsid w:val="004C1A81"/>
    <w:rsid w:val="004C7F28"/>
    <w:rsid w:val="004D304E"/>
    <w:rsid w:val="004D4DD7"/>
    <w:rsid w:val="004D7E5F"/>
    <w:rsid w:val="004E0955"/>
    <w:rsid w:val="004E2224"/>
    <w:rsid w:val="004F3C60"/>
    <w:rsid w:val="004F495C"/>
    <w:rsid w:val="00501542"/>
    <w:rsid w:val="005028C4"/>
    <w:rsid w:val="00547BB1"/>
    <w:rsid w:val="0055405A"/>
    <w:rsid w:val="00580D11"/>
    <w:rsid w:val="00582C5F"/>
    <w:rsid w:val="005866D4"/>
    <w:rsid w:val="00586DD0"/>
    <w:rsid w:val="005A6BF9"/>
    <w:rsid w:val="005C2D17"/>
    <w:rsid w:val="005D0013"/>
    <w:rsid w:val="005D2669"/>
    <w:rsid w:val="005D2AC8"/>
    <w:rsid w:val="005D334B"/>
    <w:rsid w:val="005E5427"/>
    <w:rsid w:val="005F6C85"/>
    <w:rsid w:val="00604618"/>
    <w:rsid w:val="00623C0B"/>
    <w:rsid w:val="00625304"/>
    <w:rsid w:val="00640EFE"/>
    <w:rsid w:val="0064346D"/>
    <w:rsid w:val="00647D38"/>
    <w:rsid w:val="00657F40"/>
    <w:rsid w:val="0066154A"/>
    <w:rsid w:val="00667C61"/>
    <w:rsid w:val="00676F30"/>
    <w:rsid w:val="00680652"/>
    <w:rsid w:val="00687864"/>
    <w:rsid w:val="006905F2"/>
    <w:rsid w:val="00691707"/>
    <w:rsid w:val="0069331E"/>
    <w:rsid w:val="006970B5"/>
    <w:rsid w:val="00697F9F"/>
    <w:rsid w:val="006B2D6E"/>
    <w:rsid w:val="006B708E"/>
    <w:rsid w:val="006B7F3B"/>
    <w:rsid w:val="006C2A52"/>
    <w:rsid w:val="006D5E6F"/>
    <w:rsid w:val="006F4757"/>
    <w:rsid w:val="006F5F29"/>
    <w:rsid w:val="00701959"/>
    <w:rsid w:val="00721289"/>
    <w:rsid w:val="00727312"/>
    <w:rsid w:val="0074407F"/>
    <w:rsid w:val="0076133A"/>
    <w:rsid w:val="00764021"/>
    <w:rsid w:val="00782D36"/>
    <w:rsid w:val="00785E7F"/>
    <w:rsid w:val="007A40C0"/>
    <w:rsid w:val="007A64DE"/>
    <w:rsid w:val="007B0DA7"/>
    <w:rsid w:val="007B0EDF"/>
    <w:rsid w:val="007C2649"/>
    <w:rsid w:val="007C5868"/>
    <w:rsid w:val="007C70A8"/>
    <w:rsid w:val="007D1DA3"/>
    <w:rsid w:val="007E142C"/>
    <w:rsid w:val="007F0D73"/>
    <w:rsid w:val="00801156"/>
    <w:rsid w:val="0080176A"/>
    <w:rsid w:val="00847BCA"/>
    <w:rsid w:val="00854BCC"/>
    <w:rsid w:val="00861F8D"/>
    <w:rsid w:val="00866596"/>
    <w:rsid w:val="008A74CB"/>
    <w:rsid w:val="008A7D64"/>
    <w:rsid w:val="008B75F2"/>
    <w:rsid w:val="008C44C5"/>
    <w:rsid w:val="008D22E6"/>
    <w:rsid w:val="008D4B67"/>
    <w:rsid w:val="009108F0"/>
    <w:rsid w:val="00920A5B"/>
    <w:rsid w:val="00920EF4"/>
    <w:rsid w:val="00927867"/>
    <w:rsid w:val="00930FF6"/>
    <w:rsid w:val="00932E43"/>
    <w:rsid w:val="0094587C"/>
    <w:rsid w:val="00960020"/>
    <w:rsid w:val="00970C8C"/>
    <w:rsid w:val="009760E3"/>
    <w:rsid w:val="00984E91"/>
    <w:rsid w:val="009A4C97"/>
    <w:rsid w:val="009B3B0B"/>
    <w:rsid w:val="009B6B7C"/>
    <w:rsid w:val="009C6A12"/>
    <w:rsid w:val="009D4C3F"/>
    <w:rsid w:val="009E1895"/>
    <w:rsid w:val="009E2BCD"/>
    <w:rsid w:val="00A04C2F"/>
    <w:rsid w:val="00A06B7D"/>
    <w:rsid w:val="00A13E08"/>
    <w:rsid w:val="00A25023"/>
    <w:rsid w:val="00A401B9"/>
    <w:rsid w:val="00A40335"/>
    <w:rsid w:val="00A45427"/>
    <w:rsid w:val="00A4699F"/>
    <w:rsid w:val="00A6021B"/>
    <w:rsid w:val="00A71805"/>
    <w:rsid w:val="00A727FB"/>
    <w:rsid w:val="00A80756"/>
    <w:rsid w:val="00A839DC"/>
    <w:rsid w:val="00A906E3"/>
    <w:rsid w:val="00AC101D"/>
    <w:rsid w:val="00AC4986"/>
    <w:rsid w:val="00AC5174"/>
    <w:rsid w:val="00AE6187"/>
    <w:rsid w:val="00B25FBA"/>
    <w:rsid w:val="00B32738"/>
    <w:rsid w:val="00B34A35"/>
    <w:rsid w:val="00B47530"/>
    <w:rsid w:val="00B57A43"/>
    <w:rsid w:val="00B57F07"/>
    <w:rsid w:val="00B614D7"/>
    <w:rsid w:val="00B80E9F"/>
    <w:rsid w:val="00B81396"/>
    <w:rsid w:val="00B90ABD"/>
    <w:rsid w:val="00B94362"/>
    <w:rsid w:val="00BA0968"/>
    <w:rsid w:val="00BA3D5E"/>
    <w:rsid w:val="00BB57B0"/>
    <w:rsid w:val="00BB656E"/>
    <w:rsid w:val="00BB7CB1"/>
    <w:rsid w:val="00BC2AEF"/>
    <w:rsid w:val="00BC616B"/>
    <w:rsid w:val="00BD5389"/>
    <w:rsid w:val="00BD6935"/>
    <w:rsid w:val="00BE3523"/>
    <w:rsid w:val="00BF30BA"/>
    <w:rsid w:val="00C02BD7"/>
    <w:rsid w:val="00C11E4A"/>
    <w:rsid w:val="00C366B1"/>
    <w:rsid w:val="00C70157"/>
    <w:rsid w:val="00C718D7"/>
    <w:rsid w:val="00C765FF"/>
    <w:rsid w:val="00C84D0F"/>
    <w:rsid w:val="00C86333"/>
    <w:rsid w:val="00C863CB"/>
    <w:rsid w:val="00C905AC"/>
    <w:rsid w:val="00C930B9"/>
    <w:rsid w:val="00CA5024"/>
    <w:rsid w:val="00CB04E4"/>
    <w:rsid w:val="00CB5BEE"/>
    <w:rsid w:val="00CB6567"/>
    <w:rsid w:val="00CC46F6"/>
    <w:rsid w:val="00CD0BFB"/>
    <w:rsid w:val="00CD6DE2"/>
    <w:rsid w:val="00CE1C14"/>
    <w:rsid w:val="00CE5B3E"/>
    <w:rsid w:val="00D02E35"/>
    <w:rsid w:val="00D13477"/>
    <w:rsid w:val="00D41A65"/>
    <w:rsid w:val="00D47F4C"/>
    <w:rsid w:val="00D507CF"/>
    <w:rsid w:val="00D51EEE"/>
    <w:rsid w:val="00D53D9B"/>
    <w:rsid w:val="00D65116"/>
    <w:rsid w:val="00D6606D"/>
    <w:rsid w:val="00D8779E"/>
    <w:rsid w:val="00D97827"/>
    <w:rsid w:val="00DA460B"/>
    <w:rsid w:val="00DB1E78"/>
    <w:rsid w:val="00DB6295"/>
    <w:rsid w:val="00DB72A4"/>
    <w:rsid w:val="00DB76B9"/>
    <w:rsid w:val="00DC2039"/>
    <w:rsid w:val="00DC3ABD"/>
    <w:rsid w:val="00DD5EF7"/>
    <w:rsid w:val="00E16DAE"/>
    <w:rsid w:val="00E34288"/>
    <w:rsid w:val="00E741AE"/>
    <w:rsid w:val="00EB3107"/>
    <w:rsid w:val="00EB4B00"/>
    <w:rsid w:val="00EC65A0"/>
    <w:rsid w:val="00ED18CC"/>
    <w:rsid w:val="00F075FF"/>
    <w:rsid w:val="00F213F1"/>
    <w:rsid w:val="00F2164D"/>
    <w:rsid w:val="00F236F2"/>
    <w:rsid w:val="00F35708"/>
    <w:rsid w:val="00F42706"/>
    <w:rsid w:val="00F42F33"/>
    <w:rsid w:val="00F445FA"/>
    <w:rsid w:val="00F538CB"/>
    <w:rsid w:val="00F57918"/>
    <w:rsid w:val="00F63F1C"/>
    <w:rsid w:val="00F724C6"/>
    <w:rsid w:val="00F73E77"/>
    <w:rsid w:val="00F765C1"/>
    <w:rsid w:val="00F7754D"/>
    <w:rsid w:val="00FB4ABD"/>
    <w:rsid w:val="00FC2D4C"/>
    <w:rsid w:val="00FC6046"/>
    <w:rsid w:val="00FF3C5B"/>
    <w:rsid w:val="00FF5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2048"/>
  <w15:chartTrackingRefBased/>
  <w15:docId w15:val="{177B835E-4A87-4BA6-BC8C-619C99FF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9DC"/>
    <w:pPr>
      <w:spacing w:before="120" w:after="120" w:line="240" w:lineRule="auto"/>
    </w:pPr>
    <w:rPr>
      <w:rFonts w:ascii="Arial" w:hAnsi="Arial" w:cs="Times New Roman"/>
      <w:szCs w:val="24"/>
      <w:lang w:eastAsia="ja-JP"/>
    </w:rPr>
  </w:style>
  <w:style w:type="paragraph" w:styleId="Heading1">
    <w:name w:val="heading 1"/>
    <w:basedOn w:val="Normal"/>
    <w:link w:val="Heading1Char"/>
    <w:autoRedefine/>
    <w:uiPriority w:val="9"/>
    <w:qFormat/>
    <w:rsid w:val="00801156"/>
    <w:pPr>
      <w:spacing w:before="240" w:after="240" w:line="420" w:lineRule="atLeast"/>
      <w:outlineLvl w:val="0"/>
    </w:pPr>
    <w:rPr>
      <w:rFonts w:asciiTheme="minorHAnsi" w:eastAsia="Calibri" w:hAnsiTheme="minorHAnsi" w:cstheme="minorBidi"/>
      <w:kern w:val="36"/>
      <w:sz w:val="36"/>
      <w:szCs w:val="36"/>
      <w:lang w:eastAsia="en-US"/>
    </w:rPr>
  </w:style>
  <w:style w:type="paragraph" w:styleId="Heading2">
    <w:name w:val="heading 2"/>
    <w:basedOn w:val="Normal"/>
    <w:next w:val="Normal"/>
    <w:link w:val="Heading2Char"/>
    <w:autoRedefine/>
    <w:uiPriority w:val="9"/>
    <w:unhideWhenUsed/>
    <w:qFormat/>
    <w:rsid w:val="001079DC"/>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3D5E"/>
    <w:pPr>
      <w:spacing w:before="100" w:beforeAutospacing="1" w:after="100" w:afterAutospacing="1"/>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1156"/>
    <w:rPr>
      <w:rFonts w:eastAsia="Calibri"/>
      <w:kern w:val="36"/>
      <w:sz w:val="36"/>
      <w:szCs w:val="36"/>
    </w:rPr>
  </w:style>
  <w:style w:type="character" w:customStyle="1" w:styleId="Heading2Char">
    <w:name w:val="Heading 2 Char"/>
    <w:basedOn w:val="DefaultParagraphFont"/>
    <w:link w:val="Heading2"/>
    <w:uiPriority w:val="9"/>
    <w:rsid w:val="001079DC"/>
    <w:rPr>
      <w:rFonts w:asciiTheme="majorHAnsi" w:eastAsiaTheme="majorEastAsia" w:hAnsiTheme="majorHAnsi" w:cstheme="majorBidi"/>
      <w:color w:val="2F5496" w:themeColor="accent1" w:themeShade="BF"/>
      <w:sz w:val="26"/>
      <w:szCs w:val="26"/>
      <w:lang w:eastAsia="ja-JP"/>
    </w:rPr>
  </w:style>
  <w:style w:type="character" w:customStyle="1" w:styleId="Heading3Char">
    <w:name w:val="Heading 3 Char"/>
    <w:basedOn w:val="DefaultParagraphFont"/>
    <w:link w:val="Heading3"/>
    <w:uiPriority w:val="9"/>
    <w:rsid w:val="00BA3D5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A3D5E"/>
    <w:pPr>
      <w:spacing w:before="100" w:beforeAutospacing="1" w:after="100" w:afterAutospacing="1"/>
    </w:pPr>
    <w:rPr>
      <w:rFonts w:ascii="Times New Roman" w:eastAsia="Times New Roman" w:hAnsi="Times New Roman"/>
      <w:sz w:val="24"/>
      <w:lang w:eastAsia="en-US"/>
    </w:rPr>
  </w:style>
  <w:style w:type="character" w:styleId="Hyperlink">
    <w:name w:val="Hyperlink"/>
    <w:basedOn w:val="DefaultParagraphFont"/>
    <w:uiPriority w:val="99"/>
    <w:semiHidden/>
    <w:unhideWhenUsed/>
    <w:rsid w:val="00BA3D5E"/>
    <w:rPr>
      <w:color w:val="0000FF"/>
      <w:u w:val="single"/>
    </w:rPr>
  </w:style>
  <w:style w:type="paragraph" w:styleId="BalloonText">
    <w:name w:val="Balloon Text"/>
    <w:basedOn w:val="Normal"/>
    <w:link w:val="BalloonTextChar"/>
    <w:uiPriority w:val="99"/>
    <w:semiHidden/>
    <w:unhideWhenUsed/>
    <w:rsid w:val="00BA3D5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D5E"/>
    <w:rPr>
      <w:rFonts w:ascii="Segoe UI" w:hAnsi="Segoe UI" w:cs="Segoe UI"/>
      <w:sz w:val="18"/>
      <w:szCs w:val="18"/>
      <w:lang w:eastAsia="ja-JP"/>
    </w:rPr>
  </w:style>
  <w:style w:type="paragraph" w:styleId="Header">
    <w:name w:val="header"/>
    <w:basedOn w:val="Normal"/>
    <w:link w:val="HeaderChar"/>
    <w:uiPriority w:val="99"/>
    <w:unhideWhenUsed/>
    <w:rsid w:val="0055405A"/>
    <w:pPr>
      <w:tabs>
        <w:tab w:val="center" w:pos="4680"/>
        <w:tab w:val="right" w:pos="9360"/>
      </w:tabs>
      <w:spacing w:before="0" w:after="0"/>
    </w:pPr>
  </w:style>
  <w:style w:type="character" w:customStyle="1" w:styleId="HeaderChar">
    <w:name w:val="Header Char"/>
    <w:basedOn w:val="DefaultParagraphFont"/>
    <w:link w:val="Header"/>
    <w:uiPriority w:val="99"/>
    <w:rsid w:val="0055405A"/>
    <w:rPr>
      <w:rFonts w:ascii="Arial" w:hAnsi="Arial" w:cs="Times New Roman"/>
      <w:szCs w:val="24"/>
      <w:lang w:eastAsia="ja-JP"/>
    </w:rPr>
  </w:style>
  <w:style w:type="paragraph" w:styleId="Footer">
    <w:name w:val="footer"/>
    <w:basedOn w:val="Normal"/>
    <w:link w:val="FooterChar"/>
    <w:uiPriority w:val="99"/>
    <w:unhideWhenUsed/>
    <w:rsid w:val="0055405A"/>
    <w:pPr>
      <w:tabs>
        <w:tab w:val="center" w:pos="4680"/>
        <w:tab w:val="right" w:pos="9360"/>
      </w:tabs>
      <w:spacing w:before="0" w:after="0"/>
    </w:pPr>
  </w:style>
  <w:style w:type="character" w:customStyle="1" w:styleId="FooterChar">
    <w:name w:val="Footer Char"/>
    <w:basedOn w:val="DefaultParagraphFont"/>
    <w:link w:val="Footer"/>
    <w:uiPriority w:val="99"/>
    <w:rsid w:val="0055405A"/>
    <w:rPr>
      <w:rFonts w:ascii="Arial" w:hAnsi="Arial" w:cs="Times New Roman"/>
      <w:szCs w:val="24"/>
      <w:lang w:eastAsia="ja-JP"/>
    </w:rPr>
  </w:style>
  <w:style w:type="paragraph" w:styleId="Title">
    <w:name w:val="Title"/>
    <w:basedOn w:val="Normal"/>
    <w:next w:val="Normal"/>
    <w:link w:val="TitleChar"/>
    <w:autoRedefine/>
    <w:uiPriority w:val="10"/>
    <w:qFormat/>
    <w:rsid w:val="00137A5E"/>
    <w:pPr>
      <w:keepNext/>
      <w:keepLines/>
      <w:spacing w:before="480" w:line="259" w:lineRule="auto"/>
    </w:pPr>
    <w:rPr>
      <w:rFonts w:ascii="Calibri" w:eastAsia="Calibri" w:hAnsi="Calibri" w:cs="Calibri"/>
      <w:b/>
      <w:sz w:val="48"/>
      <w:szCs w:val="72"/>
      <w:lang w:val="en-IN" w:eastAsia="en-US"/>
    </w:rPr>
  </w:style>
  <w:style w:type="character" w:customStyle="1" w:styleId="TitleChar">
    <w:name w:val="Title Char"/>
    <w:basedOn w:val="DefaultParagraphFont"/>
    <w:link w:val="Title"/>
    <w:uiPriority w:val="10"/>
    <w:rsid w:val="00137A5E"/>
    <w:rPr>
      <w:rFonts w:ascii="Calibri" w:eastAsia="Calibri" w:hAnsi="Calibri" w:cs="Calibri"/>
      <w:b/>
      <w:sz w:val="48"/>
      <w:szCs w:val="72"/>
      <w:lang w:val="en-IN"/>
    </w:rPr>
  </w:style>
  <w:style w:type="paragraph" w:customStyle="1" w:styleId="paragraph">
    <w:name w:val="paragraph"/>
    <w:basedOn w:val="Normal"/>
    <w:rsid w:val="0069331E"/>
    <w:pPr>
      <w:spacing w:before="100" w:beforeAutospacing="1" w:after="100" w:afterAutospacing="1"/>
    </w:pPr>
    <w:rPr>
      <w:rFonts w:ascii="Times New Roman" w:eastAsia="Times New Roman" w:hAnsi="Times New Roman"/>
      <w:sz w:val="24"/>
      <w:lang w:eastAsia="en-US"/>
    </w:rPr>
  </w:style>
  <w:style w:type="character" w:customStyle="1" w:styleId="normaltextrun">
    <w:name w:val="normaltextrun"/>
    <w:basedOn w:val="DefaultParagraphFont"/>
    <w:rsid w:val="0069331E"/>
  </w:style>
  <w:style w:type="character" w:customStyle="1" w:styleId="eop">
    <w:name w:val="eop"/>
    <w:basedOn w:val="DefaultParagraphFont"/>
    <w:rsid w:val="00693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324770">
      <w:bodyDiv w:val="1"/>
      <w:marLeft w:val="0"/>
      <w:marRight w:val="0"/>
      <w:marTop w:val="0"/>
      <w:marBottom w:val="0"/>
      <w:divBdr>
        <w:top w:val="none" w:sz="0" w:space="0" w:color="auto"/>
        <w:left w:val="none" w:sz="0" w:space="0" w:color="auto"/>
        <w:bottom w:val="none" w:sz="0" w:space="0" w:color="auto"/>
        <w:right w:val="none" w:sz="0" w:space="0" w:color="auto"/>
      </w:divBdr>
      <w:divsChild>
        <w:div w:id="275723946">
          <w:marLeft w:val="0"/>
          <w:marRight w:val="0"/>
          <w:marTop w:val="0"/>
          <w:marBottom w:val="0"/>
          <w:divBdr>
            <w:top w:val="none" w:sz="0" w:space="0" w:color="auto"/>
            <w:left w:val="none" w:sz="0" w:space="0" w:color="auto"/>
            <w:bottom w:val="none" w:sz="0" w:space="0" w:color="auto"/>
            <w:right w:val="none" w:sz="0" w:space="0" w:color="auto"/>
          </w:divBdr>
          <w:divsChild>
            <w:div w:id="920529490">
              <w:marLeft w:val="0"/>
              <w:marRight w:val="0"/>
              <w:marTop w:val="0"/>
              <w:marBottom w:val="0"/>
              <w:divBdr>
                <w:top w:val="none" w:sz="0" w:space="0" w:color="auto"/>
                <w:left w:val="none" w:sz="0" w:space="0" w:color="auto"/>
                <w:bottom w:val="none" w:sz="0" w:space="0" w:color="auto"/>
                <w:right w:val="none" w:sz="0" w:space="0" w:color="auto"/>
              </w:divBdr>
              <w:divsChild>
                <w:div w:id="13812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3152">
          <w:marLeft w:val="0"/>
          <w:marRight w:val="0"/>
          <w:marTop w:val="0"/>
          <w:marBottom w:val="0"/>
          <w:divBdr>
            <w:top w:val="none" w:sz="0" w:space="0" w:color="auto"/>
            <w:left w:val="none" w:sz="0" w:space="0" w:color="auto"/>
            <w:bottom w:val="none" w:sz="0" w:space="0" w:color="auto"/>
            <w:right w:val="none" w:sz="0" w:space="0" w:color="auto"/>
          </w:divBdr>
          <w:divsChild>
            <w:div w:id="1807774452">
              <w:marLeft w:val="0"/>
              <w:marRight w:val="0"/>
              <w:marTop w:val="0"/>
              <w:marBottom w:val="0"/>
              <w:divBdr>
                <w:top w:val="none" w:sz="0" w:space="0" w:color="auto"/>
                <w:left w:val="none" w:sz="0" w:space="0" w:color="auto"/>
                <w:bottom w:val="none" w:sz="0" w:space="0" w:color="auto"/>
                <w:right w:val="none" w:sz="0" w:space="0" w:color="auto"/>
              </w:divBdr>
              <w:divsChild>
                <w:div w:id="1926262721">
                  <w:marLeft w:val="0"/>
                  <w:marRight w:val="0"/>
                  <w:marTop w:val="480"/>
                  <w:marBottom w:val="480"/>
                  <w:divBdr>
                    <w:top w:val="none" w:sz="0" w:space="0" w:color="auto"/>
                    <w:left w:val="none" w:sz="0" w:space="0" w:color="auto"/>
                    <w:bottom w:val="none" w:sz="0" w:space="0" w:color="auto"/>
                    <w:right w:val="none" w:sz="0" w:space="0" w:color="auto"/>
                  </w:divBdr>
                  <w:divsChild>
                    <w:div w:id="9742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1013">
          <w:marLeft w:val="0"/>
          <w:marRight w:val="0"/>
          <w:marTop w:val="0"/>
          <w:marBottom w:val="0"/>
          <w:divBdr>
            <w:top w:val="none" w:sz="0" w:space="0" w:color="auto"/>
            <w:left w:val="none" w:sz="0" w:space="0" w:color="auto"/>
            <w:bottom w:val="none" w:sz="0" w:space="0" w:color="auto"/>
            <w:right w:val="none" w:sz="0" w:space="0" w:color="auto"/>
          </w:divBdr>
          <w:divsChild>
            <w:div w:id="507867235">
              <w:marLeft w:val="0"/>
              <w:marRight w:val="0"/>
              <w:marTop w:val="0"/>
              <w:marBottom w:val="0"/>
              <w:divBdr>
                <w:top w:val="none" w:sz="0" w:space="0" w:color="auto"/>
                <w:left w:val="none" w:sz="0" w:space="0" w:color="auto"/>
                <w:bottom w:val="none" w:sz="0" w:space="0" w:color="auto"/>
                <w:right w:val="none" w:sz="0" w:space="0" w:color="auto"/>
              </w:divBdr>
              <w:divsChild>
                <w:div w:id="9499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19862">
          <w:marLeft w:val="0"/>
          <w:marRight w:val="0"/>
          <w:marTop w:val="0"/>
          <w:marBottom w:val="0"/>
          <w:divBdr>
            <w:top w:val="none" w:sz="0" w:space="0" w:color="auto"/>
            <w:left w:val="none" w:sz="0" w:space="0" w:color="auto"/>
            <w:bottom w:val="none" w:sz="0" w:space="0" w:color="auto"/>
            <w:right w:val="none" w:sz="0" w:space="0" w:color="auto"/>
          </w:divBdr>
          <w:divsChild>
            <w:div w:id="517164606">
              <w:marLeft w:val="0"/>
              <w:marRight w:val="0"/>
              <w:marTop w:val="0"/>
              <w:marBottom w:val="0"/>
              <w:divBdr>
                <w:top w:val="none" w:sz="0" w:space="0" w:color="auto"/>
                <w:left w:val="none" w:sz="0" w:space="0" w:color="auto"/>
                <w:bottom w:val="none" w:sz="0" w:space="0" w:color="auto"/>
                <w:right w:val="none" w:sz="0" w:space="0" w:color="auto"/>
              </w:divBdr>
              <w:divsChild>
                <w:div w:id="1614096074">
                  <w:marLeft w:val="0"/>
                  <w:marRight w:val="0"/>
                  <w:marTop w:val="480"/>
                  <w:marBottom w:val="480"/>
                  <w:divBdr>
                    <w:top w:val="none" w:sz="0" w:space="0" w:color="auto"/>
                    <w:left w:val="none" w:sz="0" w:space="0" w:color="auto"/>
                    <w:bottom w:val="none" w:sz="0" w:space="0" w:color="auto"/>
                    <w:right w:val="none" w:sz="0" w:space="0" w:color="auto"/>
                  </w:divBdr>
                  <w:divsChild>
                    <w:div w:id="854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60963">
          <w:marLeft w:val="0"/>
          <w:marRight w:val="0"/>
          <w:marTop w:val="0"/>
          <w:marBottom w:val="0"/>
          <w:divBdr>
            <w:top w:val="none" w:sz="0" w:space="0" w:color="auto"/>
            <w:left w:val="none" w:sz="0" w:space="0" w:color="auto"/>
            <w:bottom w:val="none" w:sz="0" w:space="0" w:color="auto"/>
            <w:right w:val="none" w:sz="0" w:space="0" w:color="auto"/>
          </w:divBdr>
          <w:divsChild>
            <w:div w:id="2050688441">
              <w:marLeft w:val="0"/>
              <w:marRight w:val="0"/>
              <w:marTop w:val="0"/>
              <w:marBottom w:val="0"/>
              <w:divBdr>
                <w:top w:val="none" w:sz="0" w:space="0" w:color="auto"/>
                <w:left w:val="none" w:sz="0" w:space="0" w:color="auto"/>
                <w:bottom w:val="none" w:sz="0" w:space="0" w:color="auto"/>
                <w:right w:val="none" w:sz="0" w:space="0" w:color="auto"/>
              </w:divBdr>
              <w:divsChild>
                <w:div w:id="14251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qualcomm.com/media/documents/files/indonesia-atmag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26cbbf688f65ac5691143b7d7375fea5">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c6d78a698db9439aa3ea6a593f71d98"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55480B-5BCA-4E7C-8831-A14A7D1132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B451AF-EA83-4DE7-A825-6BF2E366D85D}">
  <ds:schemaRefs>
    <ds:schemaRef ds:uri="http://schemas.microsoft.com/sharepoint/v3/contenttype/forms"/>
  </ds:schemaRefs>
</ds:datastoreItem>
</file>

<file path=customXml/itemProps3.xml><?xml version="1.0" encoding="utf-8"?>
<ds:datastoreItem xmlns:ds="http://schemas.openxmlformats.org/officeDocument/2006/customXml" ds:itemID="{B53C262E-83B3-4E54-9823-052D02EA0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1333</Words>
  <Characters>7562</Characters>
  <Application>Microsoft Office Word</Application>
  <DocSecurity>0</DocSecurity>
  <Lines>121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Anirban Mukerji</dc:creator>
  <cp:keywords/>
  <dc:description/>
  <cp:lastModifiedBy>Anirban Mukerji</cp:lastModifiedBy>
  <cp:revision>13</cp:revision>
  <dcterms:created xsi:type="dcterms:W3CDTF">2019-11-19T10:52:00Z</dcterms:created>
  <dcterms:modified xsi:type="dcterms:W3CDTF">2023-05-16T10:24:00Z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y fmtid="{D5CDD505-2E9C-101B-9397-08002B2CF9AE}" pid="3" name="_AdHocReviewCycleID">
    <vt:i4>-892328593</vt:i4>
  </property>
  <property fmtid="{D5CDD505-2E9C-101B-9397-08002B2CF9AE}" pid="4" name="_NewReviewCycle">
    <vt:lpwstr/>
  </property>
  <property fmtid="{D5CDD505-2E9C-101B-9397-08002B2CF9AE}" pid="5" name="_EmailSubject">
    <vt:lpwstr>[US-ASEAN] Call for Input: Indonesia Mission Documents - Sense of Business and CSR Reports</vt:lpwstr>
  </property>
  <property fmtid="{D5CDD505-2E9C-101B-9397-08002B2CF9AE}" pid="6" name="_AuthorEmail">
    <vt:lpwstr>npurwati@qti.qualcomm.com</vt:lpwstr>
  </property>
  <property fmtid="{D5CDD505-2E9C-101B-9397-08002B2CF9AE}" pid="7" name="_AuthorEmailDisplayName">
    <vt:lpwstr>Nies Purwati</vt:lpwstr>
  </property>
  <property fmtid="{D5CDD505-2E9C-101B-9397-08002B2CF9AE}" pid="8" name="_PreviousAdHocReviewCycleID">
    <vt:i4>46740832</vt:i4>
  </property>
  <property fmtid="{D5CDD505-2E9C-101B-9397-08002B2CF9AE}" pid="9" name="_ReviewingToolsShownOnce">
    <vt:lpwstr/>
  </property>
  <property fmtid="{D5CDD505-2E9C-101B-9397-08002B2CF9AE}" pid="10" name="GrammarlyDocumentId">
    <vt:lpwstr>15c7f0f1147acfb5e42e1db013e8d510021ce415283acea96dc7db87a3085be2</vt:lpwstr>
  </property>
</Properties>
</file>