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901"/>
        <w:gridCol w:w="6161"/>
      </w:tblGrid>
      <w:tr w:rsidR="00FC5812" w14:paraId="73E1DD32" w14:textId="77777777" w:rsidTr="003A792A">
        <w:trPr>
          <w:trHeight w:val="558"/>
        </w:trPr>
        <w:tc>
          <w:tcPr>
            <w:tcW w:w="2943" w:type="dxa"/>
            <w:vMerge w:val="restart"/>
          </w:tcPr>
          <w:p w14:paraId="3536CA34" w14:textId="77777777" w:rsidR="00FC5812" w:rsidRDefault="00FC5812" w:rsidP="009711A4">
            <w:pPr>
              <w:jc w:val="center"/>
            </w:pPr>
            <w:r>
              <w:rPr>
                <w:noProof/>
                <w:lang w:eastAsia="nl-BE"/>
              </w:rPr>
              <w:drawing>
                <wp:inline distT="0" distB="0" distL="0" distR="0" wp14:anchorId="052D62F8" wp14:editId="393A832F">
                  <wp:extent cx="1214096" cy="1080000"/>
                  <wp:effectExtent l="0" t="0" r="571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_LOGO_DEF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4096" cy="1080000"/>
                          </a:xfrm>
                          <a:prstGeom prst="rect">
                            <a:avLst/>
                          </a:prstGeom>
                        </pic:spPr>
                      </pic:pic>
                    </a:graphicData>
                  </a:graphic>
                </wp:inline>
              </w:drawing>
            </w:r>
          </w:p>
        </w:tc>
        <w:tc>
          <w:tcPr>
            <w:tcW w:w="6269" w:type="dxa"/>
            <w:shd w:val="clear" w:color="auto" w:fill="B8CCE4" w:themeFill="accent1" w:themeFillTint="66"/>
          </w:tcPr>
          <w:p w14:paraId="11F80B9A" w14:textId="77777777" w:rsidR="00FC5812" w:rsidRPr="00FC5812" w:rsidRDefault="00FC5812" w:rsidP="00FC5812">
            <w:pPr>
              <w:jc w:val="center"/>
              <w:rPr>
                <w:b/>
              </w:rPr>
            </w:pPr>
            <w:r w:rsidRPr="00FC5812">
              <w:rPr>
                <w:b/>
                <w:sz w:val="32"/>
              </w:rPr>
              <w:t>Technische fiche</w:t>
            </w:r>
          </w:p>
        </w:tc>
      </w:tr>
      <w:tr w:rsidR="00FC5812" w14:paraId="02437919" w14:textId="77777777" w:rsidTr="0013724F">
        <w:trPr>
          <w:trHeight w:val="269"/>
        </w:trPr>
        <w:tc>
          <w:tcPr>
            <w:tcW w:w="2943" w:type="dxa"/>
            <w:vMerge/>
            <w:tcBorders>
              <w:bottom w:val="single" w:sz="4" w:space="0" w:color="auto"/>
            </w:tcBorders>
          </w:tcPr>
          <w:p w14:paraId="3AEFC798" w14:textId="77777777" w:rsidR="00FC5812" w:rsidRDefault="00FC5812"/>
        </w:tc>
        <w:tc>
          <w:tcPr>
            <w:tcW w:w="6269" w:type="dxa"/>
            <w:vMerge w:val="restart"/>
            <w:tcBorders>
              <w:bottom w:val="single" w:sz="4" w:space="0" w:color="auto"/>
            </w:tcBorders>
          </w:tcPr>
          <w:p w14:paraId="1BC8D296" w14:textId="124B84EE" w:rsidR="00FC5812" w:rsidRDefault="00F80E28" w:rsidP="00FC5812">
            <w:pPr>
              <w:jc w:val="center"/>
            </w:pPr>
            <w:r>
              <w:rPr>
                <w:noProof/>
              </w:rPr>
              <w:drawing>
                <wp:inline distT="0" distB="0" distL="0" distR="0" wp14:anchorId="76375C93" wp14:editId="3366B8C4">
                  <wp:extent cx="2545080" cy="1330893"/>
                  <wp:effectExtent l="0" t="0" r="762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2748" cy="1334903"/>
                          </a:xfrm>
                          <a:prstGeom prst="rect">
                            <a:avLst/>
                          </a:prstGeom>
                        </pic:spPr>
                      </pic:pic>
                    </a:graphicData>
                  </a:graphic>
                </wp:inline>
              </w:drawing>
            </w:r>
          </w:p>
        </w:tc>
      </w:tr>
      <w:tr w:rsidR="00FC5812" w14:paraId="408FFEDF" w14:textId="77777777" w:rsidTr="003A792A">
        <w:trPr>
          <w:trHeight w:val="547"/>
        </w:trPr>
        <w:tc>
          <w:tcPr>
            <w:tcW w:w="2943" w:type="dxa"/>
            <w:shd w:val="clear" w:color="auto" w:fill="B8CCE4" w:themeFill="accent1" w:themeFillTint="66"/>
          </w:tcPr>
          <w:p w14:paraId="718954D3" w14:textId="77777777" w:rsidR="00FC5812" w:rsidRPr="00FC5812" w:rsidRDefault="00FC5812" w:rsidP="00FC5812">
            <w:pPr>
              <w:jc w:val="center"/>
              <w:rPr>
                <w:b/>
                <w:u w:val="single"/>
              </w:rPr>
            </w:pPr>
            <w:r w:rsidRPr="00FC5812">
              <w:rPr>
                <w:b/>
                <w:u w:val="single"/>
              </w:rPr>
              <w:t>Productomschrijving:</w:t>
            </w:r>
          </w:p>
          <w:p w14:paraId="56C135A5" w14:textId="44B33F07" w:rsidR="00FC5812" w:rsidRPr="00FB7CCD" w:rsidRDefault="009D7725" w:rsidP="00FC5812">
            <w:pPr>
              <w:jc w:val="center"/>
              <w:rPr>
                <w:b/>
                <w:bCs/>
                <w:sz w:val="28"/>
                <w:szCs w:val="28"/>
              </w:rPr>
            </w:pPr>
            <w:r>
              <w:rPr>
                <w:b/>
                <w:bCs/>
                <w:sz w:val="28"/>
                <w:szCs w:val="28"/>
              </w:rPr>
              <w:t>Tong</w:t>
            </w:r>
          </w:p>
          <w:p w14:paraId="3C880AF5" w14:textId="3E7E8E73" w:rsidR="00FB7CCD" w:rsidRPr="00FB7CCD" w:rsidRDefault="009D7725" w:rsidP="00FC5812">
            <w:pPr>
              <w:jc w:val="center"/>
              <w:rPr>
                <w:i/>
                <w:iCs/>
              </w:rPr>
            </w:pPr>
            <w:r>
              <w:rPr>
                <w:i/>
                <w:iCs/>
              </w:rPr>
              <w:t xml:space="preserve">Solea </w:t>
            </w:r>
            <w:proofErr w:type="spellStart"/>
            <w:r>
              <w:rPr>
                <w:i/>
                <w:iCs/>
              </w:rPr>
              <w:t>Solea</w:t>
            </w:r>
            <w:proofErr w:type="spellEnd"/>
          </w:p>
        </w:tc>
        <w:tc>
          <w:tcPr>
            <w:tcW w:w="6269" w:type="dxa"/>
            <w:vMerge/>
          </w:tcPr>
          <w:p w14:paraId="4A191D90" w14:textId="77777777" w:rsidR="00FC5812" w:rsidRDefault="00FC5812"/>
        </w:tc>
      </w:tr>
      <w:tr w:rsidR="00FC5812" w14:paraId="6EECCC3F" w14:textId="77777777" w:rsidTr="00FC5812">
        <w:tc>
          <w:tcPr>
            <w:tcW w:w="2943" w:type="dxa"/>
          </w:tcPr>
          <w:p w14:paraId="6F317784" w14:textId="77777777" w:rsidR="00FC5812" w:rsidRPr="00FC5812" w:rsidRDefault="00FC5812" w:rsidP="00FC5812">
            <w:pPr>
              <w:rPr>
                <w:u w:val="single"/>
              </w:rPr>
            </w:pPr>
            <w:r w:rsidRPr="00FC5812">
              <w:rPr>
                <w:b/>
                <w:u w:val="single"/>
              </w:rPr>
              <w:t>Eigenschappen</w:t>
            </w:r>
            <w:r w:rsidRPr="00FC5812">
              <w:rPr>
                <w:u w:val="single"/>
              </w:rPr>
              <w:t>:</w:t>
            </w:r>
          </w:p>
        </w:tc>
        <w:tc>
          <w:tcPr>
            <w:tcW w:w="6269" w:type="dxa"/>
          </w:tcPr>
          <w:p w14:paraId="6C2DAD15" w14:textId="77777777" w:rsidR="00F80E28" w:rsidRPr="00F80E28" w:rsidRDefault="00F80E28" w:rsidP="00F80E28">
            <w:pPr>
              <w:rPr>
                <w:sz w:val="20"/>
                <w:szCs w:val="20"/>
              </w:rPr>
            </w:pPr>
            <w:r w:rsidRPr="00F80E28">
              <w:rPr>
                <w:sz w:val="20"/>
                <w:szCs w:val="20"/>
              </w:rPr>
              <w:t>Tong is makkelijk te herkennen : langgerekt ovaal van vorm met een ronde kop. Zijn huid is licht tot donkerroodbruin met stipjes. De onderkant is wit. Tong kan een lengte van 70cm behalen met een gewicht van 3kg., er worden echter voornamelijk exemplaren van 30 à 40cm lang aangevoerd (250 à 300g). Behalve aan de typerende lichaamsvorm kan de tong ook gemakkelijk herkend worden aan de tastdraadjes die zich onder aan de bek bevinden. De tastdraadjes worden gebruikt voor het opzoeken van voedsel: vooral wormen, maar ook kreeftachtigen en schaaldieren, die op de geur worden gelokaliseerd.</w:t>
            </w:r>
          </w:p>
          <w:p w14:paraId="57C3003B" w14:textId="2F55FC5D" w:rsidR="00FC5812" w:rsidRPr="00FB7CCD" w:rsidRDefault="00F80E28" w:rsidP="00F80E28">
            <w:pPr>
              <w:rPr>
                <w:sz w:val="20"/>
                <w:szCs w:val="20"/>
              </w:rPr>
            </w:pPr>
            <w:r w:rsidRPr="00F80E28">
              <w:rPr>
                <w:sz w:val="20"/>
                <w:szCs w:val="20"/>
              </w:rPr>
              <w:t>De kleinste sortering heet sliptong en is zeer populair bij de visliefhebber.</w:t>
            </w:r>
          </w:p>
        </w:tc>
      </w:tr>
      <w:tr w:rsidR="00FC5812" w14:paraId="7353EAB4" w14:textId="77777777" w:rsidTr="00FC5812">
        <w:tc>
          <w:tcPr>
            <w:tcW w:w="2943" w:type="dxa"/>
          </w:tcPr>
          <w:p w14:paraId="0D646D8C" w14:textId="77777777" w:rsidR="00FC5812" w:rsidRPr="00FC5812" w:rsidRDefault="00FC5812" w:rsidP="00FC5812">
            <w:pPr>
              <w:rPr>
                <w:b/>
                <w:u w:val="single"/>
              </w:rPr>
            </w:pPr>
            <w:r>
              <w:rPr>
                <w:b/>
                <w:u w:val="single"/>
              </w:rPr>
              <w:t>Herkomst:</w:t>
            </w:r>
          </w:p>
        </w:tc>
        <w:tc>
          <w:tcPr>
            <w:tcW w:w="6269" w:type="dxa"/>
          </w:tcPr>
          <w:p w14:paraId="60CB539F" w14:textId="50132D5E" w:rsidR="00FC5812" w:rsidRPr="00FB7CCD" w:rsidRDefault="00F80E28">
            <w:pPr>
              <w:rPr>
                <w:sz w:val="20"/>
                <w:szCs w:val="20"/>
              </w:rPr>
            </w:pPr>
            <w:r>
              <w:rPr>
                <w:rFonts w:ascii="Verdana" w:hAnsi="Verdana"/>
                <w:color w:val="000000"/>
                <w:sz w:val="17"/>
                <w:szCs w:val="17"/>
                <w:shd w:val="clear" w:color="auto" w:fill="FFFFFF"/>
              </w:rPr>
              <w:t>Tong heeft een voorkeur voor relatief ondiep water met een zand- of modderbodem. Tong komt veel voor in Europese kustwateren, vanaf de Middellandse Zee tot aan de noordelijkste randen van de Noordzee en de Golf van Biskaje.</w:t>
            </w:r>
            <w:r>
              <w:rPr>
                <w:rFonts w:ascii="Arial" w:hAnsi="Arial" w:cs="Arial"/>
                <w:color w:val="444444"/>
                <w:sz w:val="18"/>
                <w:szCs w:val="18"/>
              </w:rPr>
              <w:br/>
            </w:r>
            <w:r>
              <w:rPr>
                <w:rFonts w:ascii="Verdana" w:hAnsi="Verdana"/>
                <w:color w:val="000000"/>
                <w:sz w:val="17"/>
                <w:szCs w:val="17"/>
                <w:shd w:val="clear" w:color="auto" w:fill="FFFFFF"/>
              </w:rPr>
              <w:t>In aanvoerwaarde is tong veruit de belangrijkste inkomstenbron voor onze vissers. Zo werd in 2020 maar liefst 2.401 ton aangeland door Belgische vissers, met een gemiddelde prijs van 11,76€/kg.</w:t>
            </w:r>
            <w:r>
              <w:rPr>
                <w:rFonts w:ascii="Arial" w:hAnsi="Arial" w:cs="Arial"/>
                <w:color w:val="444444"/>
                <w:sz w:val="18"/>
                <w:szCs w:val="18"/>
              </w:rPr>
              <w:br/>
            </w:r>
            <w:r>
              <w:rPr>
                <w:rFonts w:ascii="Arial" w:hAnsi="Arial" w:cs="Arial"/>
                <w:color w:val="444444"/>
                <w:sz w:val="18"/>
                <w:szCs w:val="18"/>
              </w:rPr>
              <w:br/>
            </w:r>
            <w:r>
              <w:rPr>
                <w:rFonts w:ascii="Verdana" w:hAnsi="Verdana"/>
                <w:color w:val="000000"/>
                <w:sz w:val="17"/>
                <w:szCs w:val="17"/>
                <w:shd w:val="clear" w:color="auto" w:fill="FFFFFF"/>
              </w:rPr>
              <w:t xml:space="preserve">Ongeveer één derde van de Belgische tongaanvoer komt uit de Noordzee, andere belangrijke vangstgebieden zijn het Engels Kanaal, de Ierse Zee, de Keltische Zee en de Golf van </w:t>
            </w:r>
            <w:proofErr w:type="spellStart"/>
            <w:r>
              <w:rPr>
                <w:rFonts w:ascii="Verdana" w:hAnsi="Verdana"/>
                <w:color w:val="000000"/>
                <w:sz w:val="17"/>
                <w:szCs w:val="17"/>
                <w:shd w:val="clear" w:color="auto" w:fill="FFFFFF"/>
              </w:rPr>
              <w:t>Gascogne</w:t>
            </w:r>
            <w:proofErr w:type="spellEnd"/>
            <w:r>
              <w:rPr>
                <w:rFonts w:ascii="Verdana" w:hAnsi="Verdana"/>
                <w:color w:val="000000"/>
                <w:sz w:val="17"/>
                <w:szCs w:val="17"/>
                <w:shd w:val="clear" w:color="auto" w:fill="FFFFFF"/>
              </w:rPr>
              <w:t>.</w:t>
            </w:r>
          </w:p>
        </w:tc>
      </w:tr>
      <w:tr w:rsidR="00FC5812" w14:paraId="54C9FE5E" w14:textId="77777777" w:rsidTr="00FC5812">
        <w:tc>
          <w:tcPr>
            <w:tcW w:w="2943" w:type="dxa"/>
          </w:tcPr>
          <w:p w14:paraId="755FE377" w14:textId="77777777" w:rsidR="00FC5812" w:rsidRPr="00FC5812" w:rsidRDefault="00FC5812" w:rsidP="00FC5812">
            <w:pPr>
              <w:rPr>
                <w:b/>
                <w:u w:val="single"/>
              </w:rPr>
            </w:pPr>
            <w:r>
              <w:rPr>
                <w:b/>
                <w:u w:val="single"/>
              </w:rPr>
              <w:t>Paaitijd</w:t>
            </w:r>
          </w:p>
        </w:tc>
        <w:tc>
          <w:tcPr>
            <w:tcW w:w="6269" w:type="dxa"/>
          </w:tcPr>
          <w:p w14:paraId="7AA6319B" w14:textId="24FEFFA9" w:rsidR="00FC5812" w:rsidRPr="00FB7CCD" w:rsidRDefault="00F80E28">
            <w:pPr>
              <w:rPr>
                <w:sz w:val="20"/>
                <w:szCs w:val="20"/>
              </w:rPr>
            </w:pPr>
            <w:r w:rsidRPr="00F80E28">
              <w:rPr>
                <w:sz w:val="20"/>
                <w:szCs w:val="20"/>
              </w:rPr>
              <w:t>Tong is het hele jaar door verkrijgbaar, maar op z’n best van juni tot januari. De periode waarin de tong het meest kuit schiet is van maart tot en met mei, en we raden omwille van de mindere vleeskwaliteit dan ook aan om de tong in deze periode links te laten liggen.</w:t>
            </w:r>
          </w:p>
        </w:tc>
      </w:tr>
      <w:tr w:rsidR="00FC5812" w14:paraId="04DEEA51" w14:textId="77777777" w:rsidTr="00FC5812">
        <w:tc>
          <w:tcPr>
            <w:tcW w:w="2943" w:type="dxa"/>
          </w:tcPr>
          <w:p w14:paraId="64304E1D" w14:textId="77777777" w:rsidR="00FC5812" w:rsidRPr="00FC5812" w:rsidRDefault="00FC5812" w:rsidP="00FC5812">
            <w:pPr>
              <w:rPr>
                <w:b/>
                <w:u w:val="single"/>
              </w:rPr>
            </w:pPr>
            <w:r>
              <w:rPr>
                <w:b/>
                <w:u w:val="single"/>
              </w:rPr>
              <w:t>Meer algemene info:</w:t>
            </w:r>
          </w:p>
        </w:tc>
        <w:tc>
          <w:tcPr>
            <w:tcW w:w="6269" w:type="dxa"/>
          </w:tcPr>
          <w:p w14:paraId="2C3192F1" w14:textId="68069152" w:rsidR="00A00BEA" w:rsidRDefault="00F80E28">
            <w:hyperlink r:id="rId7" w:history="1">
              <w:r w:rsidRPr="00E9181D">
                <w:rPr>
                  <w:rStyle w:val="Hyperlink"/>
                </w:rPr>
                <w:t>https://www.guidedesespeces.org/nl/tong</w:t>
              </w:r>
            </w:hyperlink>
            <w:r>
              <w:t xml:space="preserve"> </w:t>
            </w:r>
          </w:p>
        </w:tc>
      </w:tr>
      <w:tr w:rsidR="003A792A" w14:paraId="1DD81211" w14:textId="77777777" w:rsidTr="003A792A">
        <w:tc>
          <w:tcPr>
            <w:tcW w:w="9212" w:type="dxa"/>
            <w:gridSpan w:val="2"/>
            <w:shd w:val="clear" w:color="auto" w:fill="B8CCE4" w:themeFill="accent1" w:themeFillTint="66"/>
          </w:tcPr>
          <w:p w14:paraId="76CFD2D4" w14:textId="77777777" w:rsidR="003A792A" w:rsidRPr="003A792A" w:rsidRDefault="003A792A" w:rsidP="003A792A">
            <w:pPr>
              <w:jc w:val="center"/>
              <w:rPr>
                <w:b/>
              </w:rPr>
            </w:pPr>
            <w:r w:rsidRPr="003A792A">
              <w:rPr>
                <w:b/>
              </w:rPr>
              <w:t>In te vullen door de chef</w:t>
            </w:r>
          </w:p>
        </w:tc>
      </w:tr>
      <w:tr w:rsidR="003A792A" w14:paraId="2E048BA5" w14:textId="77777777" w:rsidTr="00FC5812">
        <w:tc>
          <w:tcPr>
            <w:tcW w:w="2943" w:type="dxa"/>
          </w:tcPr>
          <w:p w14:paraId="0539E42E" w14:textId="77777777" w:rsidR="003A792A" w:rsidRDefault="003A792A" w:rsidP="00FC5812">
            <w:pPr>
              <w:rPr>
                <w:b/>
                <w:u w:val="single"/>
              </w:rPr>
            </w:pPr>
            <w:r>
              <w:rPr>
                <w:b/>
                <w:u w:val="single"/>
              </w:rPr>
              <w:t>Houdbaarheid / THT</w:t>
            </w:r>
          </w:p>
        </w:tc>
        <w:tc>
          <w:tcPr>
            <w:tcW w:w="6269" w:type="dxa"/>
          </w:tcPr>
          <w:p w14:paraId="18F36F90" w14:textId="77777777" w:rsidR="003A792A" w:rsidRDefault="003A792A">
            <w:r>
              <w:t>Vers aangeleverd:                                              Diepgevroren:</w:t>
            </w:r>
          </w:p>
          <w:p w14:paraId="4E0B994A" w14:textId="77777777" w:rsidR="003A792A" w:rsidRDefault="003A792A"/>
        </w:tc>
      </w:tr>
      <w:tr w:rsidR="003A792A" w14:paraId="376EB397" w14:textId="77777777" w:rsidTr="00FC5812">
        <w:tc>
          <w:tcPr>
            <w:tcW w:w="2943" w:type="dxa"/>
          </w:tcPr>
          <w:p w14:paraId="7F6DF1A9" w14:textId="77777777" w:rsidR="003A792A" w:rsidRDefault="003A792A" w:rsidP="00FC5812">
            <w:pPr>
              <w:rPr>
                <w:b/>
                <w:u w:val="single"/>
              </w:rPr>
            </w:pPr>
            <w:r>
              <w:rPr>
                <w:b/>
                <w:u w:val="single"/>
              </w:rPr>
              <w:t>Rendement:</w:t>
            </w:r>
          </w:p>
        </w:tc>
        <w:tc>
          <w:tcPr>
            <w:tcW w:w="6269" w:type="dxa"/>
          </w:tcPr>
          <w:p w14:paraId="37DCCD7E" w14:textId="77777777" w:rsidR="003A792A" w:rsidRDefault="003A792A"/>
          <w:p w14:paraId="2CC4203C" w14:textId="77777777" w:rsidR="003A792A" w:rsidRDefault="003A792A"/>
          <w:p w14:paraId="7B155FE1" w14:textId="77777777" w:rsidR="003A792A" w:rsidRDefault="003A792A"/>
          <w:p w14:paraId="7E0C42E1" w14:textId="77777777" w:rsidR="003A792A" w:rsidRDefault="003A792A"/>
        </w:tc>
      </w:tr>
      <w:tr w:rsidR="003A792A" w14:paraId="692DC79B" w14:textId="77777777" w:rsidTr="00FC5812">
        <w:tc>
          <w:tcPr>
            <w:tcW w:w="2943" w:type="dxa"/>
          </w:tcPr>
          <w:p w14:paraId="2CEC7974" w14:textId="77777777" w:rsidR="003A792A" w:rsidRDefault="003A792A" w:rsidP="00FC5812">
            <w:pPr>
              <w:rPr>
                <w:b/>
                <w:u w:val="single"/>
              </w:rPr>
            </w:pPr>
            <w:r>
              <w:rPr>
                <w:b/>
                <w:u w:val="single"/>
              </w:rPr>
              <w:t>Eigen bevindingen:</w:t>
            </w:r>
          </w:p>
        </w:tc>
        <w:tc>
          <w:tcPr>
            <w:tcW w:w="6269" w:type="dxa"/>
          </w:tcPr>
          <w:p w14:paraId="06FC2991" w14:textId="77777777" w:rsidR="003A792A" w:rsidRDefault="003A792A"/>
          <w:p w14:paraId="12D34BA9" w14:textId="77777777" w:rsidR="003A792A" w:rsidRDefault="003A792A"/>
          <w:p w14:paraId="4F0A5DC6" w14:textId="77777777" w:rsidR="003A792A" w:rsidRDefault="003A792A"/>
          <w:p w14:paraId="5BBC446D" w14:textId="77777777" w:rsidR="003A792A" w:rsidRDefault="003A792A"/>
          <w:p w14:paraId="6099FF15" w14:textId="77777777" w:rsidR="003A792A" w:rsidRDefault="003A792A"/>
          <w:p w14:paraId="0EDBC1A4" w14:textId="77777777" w:rsidR="003A792A" w:rsidRDefault="003A792A"/>
          <w:p w14:paraId="1FA07178" w14:textId="77777777" w:rsidR="003A792A" w:rsidRDefault="003A792A"/>
        </w:tc>
      </w:tr>
      <w:tr w:rsidR="003A792A" w14:paraId="75BE372D" w14:textId="77777777" w:rsidTr="00FC5812">
        <w:tc>
          <w:tcPr>
            <w:tcW w:w="2943" w:type="dxa"/>
          </w:tcPr>
          <w:p w14:paraId="1C4F7C4C" w14:textId="77777777" w:rsidR="003A792A" w:rsidRDefault="003A792A" w:rsidP="00FC5812">
            <w:pPr>
              <w:rPr>
                <w:b/>
                <w:u w:val="single"/>
              </w:rPr>
            </w:pPr>
            <w:r>
              <w:rPr>
                <w:b/>
                <w:u w:val="single"/>
              </w:rPr>
              <w:t>*Toepassingen:</w:t>
            </w:r>
          </w:p>
        </w:tc>
        <w:tc>
          <w:tcPr>
            <w:tcW w:w="6269" w:type="dxa"/>
          </w:tcPr>
          <w:p w14:paraId="3060342C" w14:textId="77777777" w:rsidR="003A792A" w:rsidRDefault="003A792A">
            <w:r w:rsidRPr="003A792A">
              <w:rPr>
                <w:sz w:val="18"/>
              </w:rPr>
              <w:t>RAUW – POCHEREN – FRITUREN – BAKKEN – STOVEN – STOMEN – IN FUMETS</w:t>
            </w:r>
          </w:p>
        </w:tc>
      </w:tr>
      <w:tr w:rsidR="003A792A" w14:paraId="186E98EF" w14:textId="77777777" w:rsidTr="00FC5812">
        <w:tc>
          <w:tcPr>
            <w:tcW w:w="2943" w:type="dxa"/>
          </w:tcPr>
          <w:p w14:paraId="1D57A639" w14:textId="77777777" w:rsidR="003A792A" w:rsidRPr="003A792A" w:rsidRDefault="003A792A" w:rsidP="003A792A">
            <w:pPr>
              <w:rPr>
                <w:b/>
                <w:u w:val="single"/>
              </w:rPr>
            </w:pPr>
            <w:r>
              <w:rPr>
                <w:b/>
                <w:u w:val="single"/>
              </w:rPr>
              <w:t xml:space="preserve">*Wat denkt u?: </w:t>
            </w:r>
          </w:p>
        </w:tc>
        <w:tc>
          <w:tcPr>
            <w:tcW w:w="6269" w:type="dxa"/>
          </w:tcPr>
          <w:p w14:paraId="46908956" w14:textId="77777777" w:rsidR="003A792A" w:rsidRDefault="003A792A">
            <w:r>
              <w:t>Zou u dit product op uw à la carte zetten? : JA / NEEN</w:t>
            </w:r>
          </w:p>
          <w:p w14:paraId="31F17DA9" w14:textId="77777777" w:rsidR="003A792A" w:rsidRDefault="003A792A">
            <w:r>
              <w:t>Zou u dit product in uw menu verwerken? : JA / NEEN</w:t>
            </w:r>
          </w:p>
        </w:tc>
      </w:tr>
      <w:tr w:rsidR="003A792A" w14:paraId="6E3DB20B" w14:textId="77777777" w:rsidTr="009E1AE7">
        <w:tc>
          <w:tcPr>
            <w:tcW w:w="9212" w:type="dxa"/>
            <w:gridSpan w:val="2"/>
          </w:tcPr>
          <w:p w14:paraId="65EDC8D0" w14:textId="77777777" w:rsidR="003A792A" w:rsidRDefault="003A792A"/>
        </w:tc>
      </w:tr>
    </w:tbl>
    <w:p w14:paraId="4FE45212" w14:textId="40B449E9" w:rsidR="003A76F2" w:rsidRDefault="003A792A" w:rsidP="003A792A">
      <w:r>
        <w:t>*Schrappen wat niet past</w:t>
      </w:r>
      <w:r>
        <w:tab/>
      </w:r>
      <w:r>
        <w:tab/>
      </w:r>
      <w:r>
        <w:tab/>
      </w:r>
      <w:r>
        <w:tab/>
      </w:r>
      <w:r>
        <w:tab/>
      </w:r>
      <w:r>
        <w:tab/>
      </w:r>
      <w:r>
        <w:tab/>
      </w:r>
      <w:proofErr w:type="spellStart"/>
      <w:r>
        <w:t>NorthSeaChefs</w:t>
      </w:r>
      <w:proofErr w:type="spellEnd"/>
      <w:r>
        <w:t xml:space="preserve"> 20</w:t>
      </w:r>
      <w:r w:rsidR="001D3430">
        <w:t>22</w:t>
      </w:r>
    </w:p>
    <w:sectPr w:rsidR="003A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9C6"/>
    <w:multiLevelType w:val="hybridMultilevel"/>
    <w:tmpl w:val="0F3023A2"/>
    <w:lvl w:ilvl="0" w:tplc="3974A1F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E45544"/>
    <w:multiLevelType w:val="hybridMultilevel"/>
    <w:tmpl w:val="C4E4F968"/>
    <w:lvl w:ilvl="0" w:tplc="A7B693F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D87FD0"/>
    <w:multiLevelType w:val="hybridMultilevel"/>
    <w:tmpl w:val="4F282626"/>
    <w:lvl w:ilvl="0" w:tplc="F47CF2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2"/>
    <w:rsid w:val="001D3430"/>
    <w:rsid w:val="00317999"/>
    <w:rsid w:val="00337393"/>
    <w:rsid w:val="003A76F2"/>
    <w:rsid w:val="003A792A"/>
    <w:rsid w:val="009711A4"/>
    <w:rsid w:val="009D7725"/>
    <w:rsid w:val="00A00BEA"/>
    <w:rsid w:val="00B10208"/>
    <w:rsid w:val="00C64C1E"/>
    <w:rsid w:val="00F80E28"/>
    <w:rsid w:val="00FB7CCD"/>
    <w:rsid w:val="00FC5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558F"/>
  <w15:docId w15:val="{2B87A38A-9AF4-4F9A-9FBE-488E6FB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5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812"/>
    <w:rPr>
      <w:rFonts w:ascii="Tahoma" w:hAnsi="Tahoma" w:cs="Tahoma"/>
      <w:sz w:val="16"/>
      <w:szCs w:val="16"/>
    </w:rPr>
  </w:style>
  <w:style w:type="paragraph" w:styleId="Lijstalinea">
    <w:name w:val="List Paragraph"/>
    <w:basedOn w:val="Standaard"/>
    <w:uiPriority w:val="34"/>
    <w:qFormat/>
    <w:rsid w:val="003A792A"/>
    <w:pPr>
      <w:ind w:left="720"/>
      <w:contextualSpacing/>
    </w:pPr>
  </w:style>
  <w:style w:type="character" w:styleId="Hyperlink">
    <w:name w:val="Hyperlink"/>
    <w:basedOn w:val="Standaardalinea-lettertype"/>
    <w:uiPriority w:val="99"/>
    <w:unhideWhenUsed/>
    <w:rsid w:val="00B10208"/>
    <w:rPr>
      <w:color w:val="0000FF" w:themeColor="hyperlink"/>
      <w:u w:val="single"/>
    </w:rPr>
  </w:style>
  <w:style w:type="character" w:styleId="Onopgelostemelding">
    <w:name w:val="Unresolved Mention"/>
    <w:basedOn w:val="Standaardalinea-lettertype"/>
    <w:uiPriority w:val="99"/>
    <w:semiHidden/>
    <w:unhideWhenUsed/>
    <w:rsid w:val="00B10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idedesespeces.org/nl/t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Jens Van De Ven</cp:lastModifiedBy>
  <cp:revision>2</cp:revision>
  <dcterms:created xsi:type="dcterms:W3CDTF">2022-03-30T09:00:00Z</dcterms:created>
  <dcterms:modified xsi:type="dcterms:W3CDTF">2022-03-30T09:00:00Z</dcterms:modified>
</cp:coreProperties>
</file>