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75"/>
        <w:gridCol w:w="6187"/>
      </w:tblGrid>
      <w:tr w:rsidR="00FC5812" w14:paraId="04EA69D9" w14:textId="77777777" w:rsidTr="00F862F0">
        <w:trPr>
          <w:trHeight w:val="558"/>
        </w:trPr>
        <w:tc>
          <w:tcPr>
            <w:tcW w:w="2875" w:type="dxa"/>
            <w:vMerge w:val="restart"/>
          </w:tcPr>
          <w:p w14:paraId="3A486948" w14:textId="66C12216" w:rsidR="00FC5812" w:rsidRDefault="003D2919" w:rsidP="009711A4">
            <w:pPr>
              <w:jc w:val="center"/>
            </w:pPr>
            <w:r>
              <w:rPr>
                <w:noProof/>
              </w:rPr>
              <w:drawing>
                <wp:inline distT="0" distB="0" distL="0" distR="0" wp14:anchorId="1A4588AD" wp14:editId="643409A2">
                  <wp:extent cx="1133475" cy="1133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997" cy="1133997"/>
                          </a:xfrm>
                          <a:prstGeom prst="rect">
                            <a:avLst/>
                          </a:prstGeom>
                        </pic:spPr>
                      </pic:pic>
                    </a:graphicData>
                  </a:graphic>
                </wp:inline>
              </w:drawing>
            </w:r>
          </w:p>
        </w:tc>
        <w:tc>
          <w:tcPr>
            <w:tcW w:w="6187" w:type="dxa"/>
            <w:shd w:val="clear" w:color="auto" w:fill="B8CCE4" w:themeFill="accent1" w:themeFillTint="66"/>
          </w:tcPr>
          <w:p w14:paraId="06FBCCBF" w14:textId="77777777" w:rsidR="00FC5812" w:rsidRPr="00FC5812" w:rsidRDefault="00FC5812" w:rsidP="00FC5812">
            <w:pPr>
              <w:jc w:val="center"/>
              <w:rPr>
                <w:b/>
              </w:rPr>
            </w:pPr>
            <w:r w:rsidRPr="00FC5812">
              <w:rPr>
                <w:b/>
                <w:sz w:val="32"/>
              </w:rPr>
              <w:t>Technische fiche</w:t>
            </w:r>
          </w:p>
        </w:tc>
      </w:tr>
      <w:tr w:rsidR="00FC5812" w14:paraId="748C1054" w14:textId="77777777" w:rsidTr="00F862F0">
        <w:trPr>
          <w:trHeight w:val="1411"/>
        </w:trPr>
        <w:tc>
          <w:tcPr>
            <w:tcW w:w="2875" w:type="dxa"/>
            <w:vMerge/>
            <w:tcBorders>
              <w:bottom w:val="single" w:sz="4" w:space="0" w:color="auto"/>
            </w:tcBorders>
          </w:tcPr>
          <w:p w14:paraId="2FEB4EA0" w14:textId="77777777" w:rsidR="00FC5812" w:rsidRDefault="00FC5812"/>
        </w:tc>
        <w:tc>
          <w:tcPr>
            <w:tcW w:w="6187" w:type="dxa"/>
            <w:vMerge w:val="restart"/>
            <w:tcBorders>
              <w:bottom w:val="single" w:sz="4" w:space="0" w:color="auto"/>
            </w:tcBorders>
          </w:tcPr>
          <w:p w14:paraId="71340AB7" w14:textId="77777777" w:rsidR="00FC5812" w:rsidRDefault="00A65D7C" w:rsidP="00FC5812">
            <w:pPr>
              <w:jc w:val="center"/>
            </w:pPr>
            <w:r>
              <w:rPr>
                <w:noProof/>
              </w:rPr>
              <w:drawing>
                <wp:inline distT="0" distB="0" distL="0" distR="0" wp14:anchorId="15D587B9" wp14:editId="2D20D9CA">
                  <wp:extent cx="1331297" cy="3454158"/>
                  <wp:effectExtent l="5397" t="0" r="7938" b="7937"/>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tvis.tif"/>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59901" cy="3528374"/>
                          </a:xfrm>
                          <a:prstGeom prst="rect">
                            <a:avLst/>
                          </a:prstGeom>
                        </pic:spPr>
                      </pic:pic>
                    </a:graphicData>
                  </a:graphic>
                </wp:inline>
              </w:drawing>
            </w:r>
          </w:p>
        </w:tc>
      </w:tr>
      <w:tr w:rsidR="00FC5812" w14:paraId="51294502" w14:textId="77777777" w:rsidTr="00F862F0">
        <w:trPr>
          <w:trHeight w:val="547"/>
        </w:trPr>
        <w:tc>
          <w:tcPr>
            <w:tcW w:w="2875" w:type="dxa"/>
            <w:shd w:val="clear" w:color="auto" w:fill="B8CCE4" w:themeFill="accent1" w:themeFillTint="66"/>
          </w:tcPr>
          <w:p w14:paraId="184440D2" w14:textId="5ED33DE2" w:rsidR="00A65D7C" w:rsidRPr="003D2919" w:rsidRDefault="00FC5812" w:rsidP="003D2919">
            <w:pPr>
              <w:jc w:val="center"/>
              <w:rPr>
                <w:b/>
                <w:u w:val="single"/>
              </w:rPr>
            </w:pPr>
            <w:r w:rsidRPr="00FC5812">
              <w:rPr>
                <w:b/>
                <w:u w:val="single"/>
              </w:rPr>
              <w:t>Productomschrijving:</w:t>
            </w:r>
          </w:p>
          <w:p w14:paraId="0D776B3E" w14:textId="77777777" w:rsidR="00FC5812" w:rsidRPr="00A65D7C" w:rsidRDefault="00130B43" w:rsidP="00FC5812">
            <w:pPr>
              <w:jc w:val="center"/>
              <w:rPr>
                <w:b/>
              </w:rPr>
            </w:pPr>
            <w:r w:rsidRPr="00A65D7C">
              <w:rPr>
                <w:b/>
              </w:rPr>
              <w:t>PIJLINKTVIS</w:t>
            </w:r>
          </w:p>
          <w:p w14:paraId="3959F0C8" w14:textId="77777777" w:rsidR="00130B43" w:rsidRPr="00F862F0" w:rsidRDefault="00130B43" w:rsidP="00FC5812">
            <w:pPr>
              <w:jc w:val="center"/>
              <w:rPr>
                <w:i/>
                <w:iCs/>
              </w:rPr>
            </w:pPr>
            <w:r w:rsidRPr="00F862F0">
              <w:rPr>
                <w:b/>
                <w:i/>
                <w:iCs/>
              </w:rPr>
              <w:t>Loligo vulgaris</w:t>
            </w:r>
          </w:p>
        </w:tc>
        <w:tc>
          <w:tcPr>
            <w:tcW w:w="6187" w:type="dxa"/>
            <w:vMerge/>
          </w:tcPr>
          <w:p w14:paraId="4A76F888" w14:textId="77777777" w:rsidR="00FC5812" w:rsidRDefault="00FC5812"/>
        </w:tc>
      </w:tr>
      <w:tr w:rsidR="00FC5812" w14:paraId="534E8D4E" w14:textId="77777777" w:rsidTr="00F862F0">
        <w:tc>
          <w:tcPr>
            <w:tcW w:w="2875" w:type="dxa"/>
          </w:tcPr>
          <w:p w14:paraId="37494222" w14:textId="77777777" w:rsidR="00FC5812" w:rsidRPr="00FC5812" w:rsidRDefault="00FC5812" w:rsidP="00FC5812">
            <w:pPr>
              <w:rPr>
                <w:u w:val="single"/>
              </w:rPr>
            </w:pPr>
            <w:r w:rsidRPr="00FC5812">
              <w:rPr>
                <w:b/>
                <w:u w:val="single"/>
              </w:rPr>
              <w:t>Eigenschappen</w:t>
            </w:r>
            <w:r w:rsidRPr="00FC5812">
              <w:rPr>
                <w:u w:val="single"/>
              </w:rPr>
              <w:t>:</w:t>
            </w:r>
          </w:p>
        </w:tc>
        <w:tc>
          <w:tcPr>
            <w:tcW w:w="6187" w:type="dxa"/>
          </w:tcPr>
          <w:p w14:paraId="107AD51E" w14:textId="77777777" w:rsidR="00FC5812" w:rsidRPr="00302073" w:rsidRDefault="00A65D7C" w:rsidP="003A792A">
            <w:pPr>
              <w:rPr>
                <w:rFonts w:cstheme="minorHAnsi"/>
                <w:sz w:val="19"/>
                <w:szCs w:val="19"/>
              </w:rPr>
            </w:pPr>
            <w:r w:rsidRPr="00302073">
              <w:rPr>
                <w:rFonts w:cstheme="minorHAnsi"/>
                <w:sz w:val="19"/>
                <w:szCs w:val="19"/>
              </w:rPr>
              <w:t xml:space="preserve">De pijlinktvissen, die ook wel ‘calamares’ worden genoemd, hebben een verlengd lichaam. Ze hebben een flinterdunne, doorzichtige interne schelp (terwijl de zeekat een dikke inwendige schelp heeft). </w:t>
            </w:r>
            <w:r w:rsidRPr="00302073">
              <w:rPr>
                <w:rFonts w:cstheme="minorHAnsi"/>
                <w:color w:val="000000"/>
                <w:sz w:val="19"/>
                <w:szCs w:val="19"/>
                <w:shd w:val="clear" w:color="auto" w:fill="FFFFFF"/>
              </w:rPr>
              <w:t xml:space="preserve">Kleine exemplaren worden in hun geheel verkocht. De grootste worden geleegd en schoongemaakt aangeboden. </w:t>
            </w:r>
            <w:r w:rsidR="00302073" w:rsidRPr="00302073">
              <w:rPr>
                <w:rFonts w:cstheme="minorHAnsi"/>
                <w:color w:val="000000"/>
                <w:sz w:val="19"/>
                <w:szCs w:val="19"/>
                <w:shd w:val="clear" w:color="auto" w:fill="FFFFFF"/>
              </w:rPr>
              <w:t xml:space="preserve"> De gewone pijlinktvis (Loligo vulgaris) kan tot 30-40 cm groot worden (mantel) en 1.5 kg zwaar, maar is meestal 15-20 cm lang in de handel. De middelste rijen zuignappen op de lange tentakels zijn extreem groot (tot 4 keer zo groot als die op de rijen aan de zijkant). Zo kun je de soort onderscheiden van de Noordse pijlinktvis. </w:t>
            </w:r>
          </w:p>
        </w:tc>
      </w:tr>
      <w:tr w:rsidR="00FC5812" w14:paraId="46D3BC0D" w14:textId="77777777" w:rsidTr="00F862F0">
        <w:tc>
          <w:tcPr>
            <w:tcW w:w="2875" w:type="dxa"/>
          </w:tcPr>
          <w:p w14:paraId="078FC607" w14:textId="77777777" w:rsidR="00FC5812" w:rsidRPr="00FC5812" w:rsidRDefault="00FC5812" w:rsidP="00FC5812">
            <w:pPr>
              <w:rPr>
                <w:b/>
                <w:u w:val="single"/>
              </w:rPr>
            </w:pPr>
            <w:r>
              <w:rPr>
                <w:b/>
                <w:u w:val="single"/>
              </w:rPr>
              <w:t>Herkomst:</w:t>
            </w:r>
          </w:p>
        </w:tc>
        <w:tc>
          <w:tcPr>
            <w:tcW w:w="6187" w:type="dxa"/>
          </w:tcPr>
          <w:p w14:paraId="31ACA21B" w14:textId="593F5610" w:rsidR="00FC5812" w:rsidRPr="00302073" w:rsidRDefault="00A65D7C">
            <w:pPr>
              <w:rPr>
                <w:rFonts w:cstheme="minorHAnsi"/>
                <w:sz w:val="19"/>
                <w:szCs w:val="19"/>
              </w:rPr>
            </w:pPr>
            <w:r w:rsidRPr="00302073">
              <w:rPr>
                <w:rFonts w:cstheme="minorHAnsi"/>
                <w:color w:val="000000"/>
                <w:sz w:val="19"/>
                <w:szCs w:val="19"/>
                <w:shd w:val="clear" w:color="auto" w:fill="FFFFFF"/>
              </w:rPr>
              <w:t>In het noordoostelijk deel van de Atlantische Ocean is pijlinktvis vaak een bijvangst in bodemsleepnetten. In de gebieden waar Belgische vissers vertoeven kan men verschillende soorten pijlinktvissen aantreffen, waaronder de gewone pijlinktvis (</w:t>
            </w:r>
            <w:r w:rsidRPr="00F862F0">
              <w:rPr>
                <w:rFonts w:cstheme="minorHAnsi"/>
                <w:i/>
                <w:iCs/>
                <w:color w:val="000000"/>
                <w:sz w:val="19"/>
                <w:szCs w:val="19"/>
                <w:shd w:val="clear" w:color="auto" w:fill="FFFFFF"/>
              </w:rPr>
              <w:t>Loligo vulgaris</w:t>
            </w:r>
            <w:r w:rsidRPr="00302073">
              <w:rPr>
                <w:rFonts w:cstheme="minorHAnsi"/>
                <w:color w:val="000000"/>
                <w:sz w:val="19"/>
                <w:szCs w:val="19"/>
                <w:shd w:val="clear" w:color="auto" w:fill="FFFFFF"/>
              </w:rPr>
              <w:t>) en de Noordse pijlinktvis (</w:t>
            </w:r>
            <w:r w:rsidRPr="00F862F0">
              <w:rPr>
                <w:rFonts w:cstheme="minorHAnsi"/>
                <w:i/>
                <w:iCs/>
                <w:color w:val="000000"/>
                <w:sz w:val="19"/>
                <w:szCs w:val="19"/>
                <w:shd w:val="clear" w:color="auto" w:fill="FFFFFF"/>
              </w:rPr>
              <w:t>Loligo forbesi</w:t>
            </w:r>
            <w:r w:rsidRPr="00302073">
              <w:rPr>
                <w:rFonts w:cstheme="minorHAnsi"/>
                <w:color w:val="000000"/>
                <w:sz w:val="19"/>
                <w:szCs w:val="19"/>
                <w:shd w:val="clear" w:color="auto" w:fill="FFFFFF"/>
              </w:rPr>
              <w:t>).</w:t>
            </w:r>
            <w:r w:rsidR="00BC7B05">
              <w:rPr>
                <w:rFonts w:cstheme="minorHAnsi"/>
                <w:color w:val="000000"/>
                <w:sz w:val="19"/>
                <w:szCs w:val="19"/>
                <w:shd w:val="clear" w:color="auto" w:fill="FFFFFF"/>
              </w:rPr>
              <w:t xml:space="preserve"> </w:t>
            </w:r>
            <w:r w:rsidR="00BC7B05" w:rsidRPr="00302073">
              <w:rPr>
                <w:rFonts w:cstheme="minorHAnsi"/>
                <w:color w:val="000000"/>
                <w:sz w:val="19"/>
                <w:szCs w:val="19"/>
                <w:shd w:val="clear" w:color="auto" w:fill="FFFFFF"/>
              </w:rPr>
              <w:t>Gewone pijlinktvissen leven van heel ondiep water tot 500 m diepte.</w:t>
            </w:r>
            <w:r w:rsidRPr="00302073">
              <w:rPr>
                <w:rFonts w:cstheme="minorHAnsi"/>
                <w:color w:val="000000"/>
                <w:sz w:val="19"/>
                <w:szCs w:val="19"/>
                <w:shd w:val="clear" w:color="auto" w:fill="FFFFFF"/>
              </w:rPr>
              <w:t xml:space="preserve"> Belgische vissers landden in 20</w:t>
            </w:r>
            <w:r w:rsidR="00B93C5D">
              <w:rPr>
                <w:rFonts w:cstheme="minorHAnsi"/>
                <w:color w:val="000000"/>
                <w:sz w:val="19"/>
                <w:szCs w:val="19"/>
                <w:shd w:val="clear" w:color="auto" w:fill="FFFFFF"/>
              </w:rPr>
              <w:t>20</w:t>
            </w:r>
            <w:r w:rsidRPr="00302073">
              <w:rPr>
                <w:rFonts w:cstheme="minorHAnsi"/>
                <w:color w:val="000000"/>
                <w:sz w:val="19"/>
                <w:szCs w:val="19"/>
                <w:shd w:val="clear" w:color="auto" w:fill="FFFFFF"/>
              </w:rPr>
              <w:t xml:space="preserve"> ruim 2</w:t>
            </w:r>
            <w:r w:rsidR="00B748BC">
              <w:rPr>
                <w:rFonts w:cstheme="minorHAnsi"/>
                <w:color w:val="000000"/>
                <w:sz w:val="19"/>
                <w:szCs w:val="19"/>
                <w:shd w:val="clear" w:color="auto" w:fill="FFFFFF"/>
              </w:rPr>
              <w:t>22</w:t>
            </w:r>
            <w:r w:rsidRPr="00302073">
              <w:rPr>
                <w:rFonts w:cstheme="minorHAnsi"/>
                <w:color w:val="000000"/>
                <w:sz w:val="19"/>
                <w:szCs w:val="19"/>
                <w:shd w:val="clear" w:color="auto" w:fill="FFFFFF"/>
              </w:rPr>
              <w:t xml:space="preserve"> ton aan</w:t>
            </w:r>
            <w:r w:rsidR="00F862F0">
              <w:rPr>
                <w:rFonts w:cstheme="minorHAnsi"/>
                <w:color w:val="000000"/>
                <w:sz w:val="19"/>
                <w:szCs w:val="19"/>
                <w:shd w:val="clear" w:color="auto" w:fill="FFFFFF"/>
              </w:rPr>
              <w:t xml:space="preserve"> in Belgische havens</w:t>
            </w:r>
            <w:r w:rsidRPr="00302073">
              <w:rPr>
                <w:rFonts w:cstheme="minorHAnsi"/>
                <w:color w:val="000000"/>
                <w:sz w:val="19"/>
                <w:szCs w:val="19"/>
                <w:shd w:val="clear" w:color="auto" w:fill="FFFFFF"/>
              </w:rPr>
              <w:t>, met een gemiddelde prijs van €5,</w:t>
            </w:r>
            <w:r w:rsidR="00B748BC">
              <w:rPr>
                <w:rFonts w:cstheme="minorHAnsi"/>
                <w:color w:val="000000"/>
                <w:sz w:val="19"/>
                <w:szCs w:val="19"/>
                <w:shd w:val="clear" w:color="auto" w:fill="FFFFFF"/>
              </w:rPr>
              <w:t>74</w:t>
            </w:r>
            <w:r w:rsidRPr="00302073">
              <w:rPr>
                <w:rFonts w:cstheme="minorHAnsi"/>
                <w:color w:val="000000"/>
                <w:sz w:val="19"/>
                <w:szCs w:val="19"/>
                <w:shd w:val="clear" w:color="auto" w:fill="FFFFFF"/>
              </w:rPr>
              <w:t>/kg.</w:t>
            </w:r>
          </w:p>
        </w:tc>
      </w:tr>
      <w:tr w:rsidR="00FC5812" w14:paraId="458CA01C" w14:textId="77777777" w:rsidTr="00F862F0">
        <w:tc>
          <w:tcPr>
            <w:tcW w:w="2875" w:type="dxa"/>
          </w:tcPr>
          <w:p w14:paraId="43E21B2F" w14:textId="77777777" w:rsidR="00FC5812" w:rsidRPr="00FC5812" w:rsidRDefault="00FC5812" w:rsidP="00FC5812">
            <w:pPr>
              <w:rPr>
                <w:b/>
                <w:u w:val="single"/>
              </w:rPr>
            </w:pPr>
            <w:r>
              <w:rPr>
                <w:b/>
                <w:u w:val="single"/>
              </w:rPr>
              <w:t>Paaitijd</w:t>
            </w:r>
          </w:p>
        </w:tc>
        <w:tc>
          <w:tcPr>
            <w:tcW w:w="6187" w:type="dxa"/>
          </w:tcPr>
          <w:p w14:paraId="5439B975" w14:textId="77777777" w:rsidR="00FC5812" w:rsidRPr="00302073" w:rsidRDefault="00A65D7C">
            <w:pPr>
              <w:rPr>
                <w:rFonts w:cstheme="minorHAnsi"/>
                <w:sz w:val="19"/>
                <w:szCs w:val="19"/>
              </w:rPr>
            </w:pPr>
            <w:r w:rsidRPr="00302073">
              <w:rPr>
                <w:rFonts w:cstheme="minorHAnsi"/>
                <w:sz w:val="19"/>
                <w:szCs w:val="19"/>
              </w:rPr>
              <w:t>Gewone pijlinktvissen kennen grote seizoenale migraties, omdat ze naar dieper water voor de kust van Portugal trekken om er te overwinteren. Vanaf mei-juni komen ze terug naar de Noordzee, om er te paaien in de vroege zomer en vroege herfst. De wit-gele eierstrengen worden vastgelegd aan harde structuren op de zeebodem. Noordse pijlinktvissen paaien in het Kanaal, zowel in de wintermaanden (december-januari) als in de zomer. Pijlinktvissen in het algemeen leven tot 1 à 2 jaar.</w:t>
            </w:r>
          </w:p>
        </w:tc>
      </w:tr>
      <w:tr w:rsidR="00FC5812" w:rsidRPr="00F862F0" w14:paraId="6791980A" w14:textId="77777777" w:rsidTr="00F862F0">
        <w:tc>
          <w:tcPr>
            <w:tcW w:w="2875" w:type="dxa"/>
          </w:tcPr>
          <w:p w14:paraId="3EE72D83" w14:textId="77777777" w:rsidR="00FC5812" w:rsidRPr="00FC5812" w:rsidRDefault="00FC5812" w:rsidP="00FC5812">
            <w:pPr>
              <w:rPr>
                <w:b/>
                <w:u w:val="single"/>
              </w:rPr>
            </w:pPr>
            <w:r>
              <w:rPr>
                <w:b/>
                <w:u w:val="single"/>
              </w:rPr>
              <w:t>Meer algemene info:</w:t>
            </w:r>
          </w:p>
        </w:tc>
        <w:tc>
          <w:tcPr>
            <w:tcW w:w="6187" w:type="dxa"/>
          </w:tcPr>
          <w:p w14:paraId="45C9BE2D" w14:textId="583F1793" w:rsidR="00FC5812" w:rsidRPr="00F862F0" w:rsidRDefault="00B93C5D">
            <w:hyperlink r:id="rId7" w:history="1">
              <w:r w:rsidR="00631BBE" w:rsidRPr="00F862F0">
                <w:rPr>
                  <w:rStyle w:val="Hyperlink"/>
                </w:rPr>
                <w:t>http://www.zeevruchtengids.org/nl/pijlinktvis</w:t>
              </w:r>
            </w:hyperlink>
            <w:r w:rsidR="00631BBE" w:rsidRPr="00F862F0">
              <w:t xml:space="preserve"> </w:t>
            </w:r>
            <w:r w:rsidR="00F862F0" w:rsidRPr="00F862F0">
              <w:t xml:space="preserve"> / Sportvisseri</w:t>
            </w:r>
            <w:r w:rsidR="00F862F0">
              <w:t xml:space="preserve">j Nederland   /   </w:t>
            </w:r>
            <w:hyperlink r:id="rId8" w:history="1">
              <w:r w:rsidR="00F862F0" w:rsidRPr="00CE4330">
                <w:rPr>
                  <w:rStyle w:val="Hyperlink"/>
                </w:rPr>
                <w:t>www.geofish.be</w:t>
              </w:r>
            </w:hyperlink>
            <w:r w:rsidR="00F862F0">
              <w:t xml:space="preserve"> </w:t>
            </w:r>
          </w:p>
        </w:tc>
      </w:tr>
      <w:tr w:rsidR="003A792A" w14:paraId="4C354587" w14:textId="77777777" w:rsidTr="00F862F0">
        <w:tc>
          <w:tcPr>
            <w:tcW w:w="9062" w:type="dxa"/>
            <w:gridSpan w:val="2"/>
            <w:shd w:val="clear" w:color="auto" w:fill="B8CCE4" w:themeFill="accent1" w:themeFillTint="66"/>
          </w:tcPr>
          <w:p w14:paraId="5782B3B7" w14:textId="77777777" w:rsidR="003A792A" w:rsidRPr="003A792A" w:rsidRDefault="003A792A" w:rsidP="003A792A">
            <w:pPr>
              <w:jc w:val="center"/>
              <w:rPr>
                <w:b/>
              </w:rPr>
            </w:pPr>
            <w:r w:rsidRPr="003A792A">
              <w:rPr>
                <w:b/>
              </w:rPr>
              <w:t>In te vullen door de chef</w:t>
            </w:r>
          </w:p>
        </w:tc>
      </w:tr>
      <w:tr w:rsidR="003A792A" w14:paraId="1BDCEE45" w14:textId="77777777" w:rsidTr="00F862F0">
        <w:tc>
          <w:tcPr>
            <w:tcW w:w="2875" w:type="dxa"/>
          </w:tcPr>
          <w:p w14:paraId="32B921E9" w14:textId="77777777" w:rsidR="003A792A" w:rsidRDefault="003A792A" w:rsidP="00FC5812">
            <w:pPr>
              <w:rPr>
                <w:b/>
                <w:u w:val="single"/>
              </w:rPr>
            </w:pPr>
            <w:r>
              <w:rPr>
                <w:b/>
                <w:u w:val="single"/>
              </w:rPr>
              <w:t>Houdbaarheid / THT</w:t>
            </w:r>
          </w:p>
        </w:tc>
        <w:tc>
          <w:tcPr>
            <w:tcW w:w="6187" w:type="dxa"/>
          </w:tcPr>
          <w:p w14:paraId="0356C7A2" w14:textId="77777777" w:rsidR="003A792A" w:rsidRDefault="003A792A">
            <w:r>
              <w:t>Vers aangeleverd:                                              Diepgevroren:</w:t>
            </w:r>
          </w:p>
          <w:p w14:paraId="3335391D" w14:textId="77777777" w:rsidR="003A792A" w:rsidRDefault="003A792A"/>
        </w:tc>
      </w:tr>
      <w:tr w:rsidR="003A792A" w14:paraId="50B8AED4" w14:textId="77777777" w:rsidTr="00F862F0">
        <w:tc>
          <w:tcPr>
            <w:tcW w:w="2875" w:type="dxa"/>
          </w:tcPr>
          <w:p w14:paraId="05AD93A7" w14:textId="77777777" w:rsidR="003A792A" w:rsidRDefault="003A792A" w:rsidP="00FC5812">
            <w:pPr>
              <w:rPr>
                <w:b/>
                <w:u w:val="single"/>
              </w:rPr>
            </w:pPr>
            <w:r>
              <w:rPr>
                <w:b/>
                <w:u w:val="single"/>
              </w:rPr>
              <w:t>Rendement:</w:t>
            </w:r>
          </w:p>
        </w:tc>
        <w:tc>
          <w:tcPr>
            <w:tcW w:w="6187" w:type="dxa"/>
          </w:tcPr>
          <w:p w14:paraId="6F062530" w14:textId="77777777" w:rsidR="003A792A" w:rsidRDefault="003A792A"/>
          <w:p w14:paraId="59CD9321" w14:textId="77777777" w:rsidR="003A792A" w:rsidRDefault="003A792A"/>
          <w:p w14:paraId="0AC8B447" w14:textId="77777777" w:rsidR="003A792A" w:rsidRDefault="003A792A"/>
        </w:tc>
      </w:tr>
      <w:tr w:rsidR="003A792A" w14:paraId="63B32686" w14:textId="77777777" w:rsidTr="00F862F0">
        <w:tc>
          <w:tcPr>
            <w:tcW w:w="2875" w:type="dxa"/>
          </w:tcPr>
          <w:p w14:paraId="5817ED35" w14:textId="77777777" w:rsidR="003A792A" w:rsidRDefault="003A792A" w:rsidP="00FC5812">
            <w:pPr>
              <w:rPr>
                <w:b/>
                <w:u w:val="single"/>
              </w:rPr>
            </w:pPr>
            <w:r>
              <w:rPr>
                <w:b/>
                <w:u w:val="single"/>
              </w:rPr>
              <w:t>Eigen bevindingen:</w:t>
            </w:r>
          </w:p>
        </w:tc>
        <w:tc>
          <w:tcPr>
            <w:tcW w:w="6187" w:type="dxa"/>
          </w:tcPr>
          <w:p w14:paraId="28F3DD34" w14:textId="77777777" w:rsidR="003A792A" w:rsidRDefault="003A792A"/>
          <w:p w14:paraId="2E79CA4A" w14:textId="77777777" w:rsidR="003A792A" w:rsidRDefault="003A792A"/>
          <w:p w14:paraId="1D7E9D6B" w14:textId="77777777" w:rsidR="003A792A" w:rsidRDefault="003A792A"/>
          <w:p w14:paraId="1D69C859" w14:textId="77777777" w:rsidR="003A792A" w:rsidRDefault="003A792A"/>
          <w:p w14:paraId="7E37B3D4" w14:textId="77777777" w:rsidR="003A792A" w:rsidRDefault="003A792A"/>
          <w:p w14:paraId="39FAC061" w14:textId="77777777" w:rsidR="003A792A" w:rsidRDefault="003A792A"/>
        </w:tc>
      </w:tr>
      <w:tr w:rsidR="003A792A" w14:paraId="2D46F465" w14:textId="77777777" w:rsidTr="00F862F0">
        <w:tc>
          <w:tcPr>
            <w:tcW w:w="2875" w:type="dxa"/>
          </w:tcPr>
          <w:p w14:paraId="6AD9C1FC" w14:textId="77777777" w:rsidR="003A792A" w:rsidRDefault="003A792A" w:rsidP="00FC5812">
            <w:pPr>
              <w:rPr>
                <w:b/>
                <w:u w:val="single"/>
              </w:rPr>
            </w:pPr>
            <w:r>
              <w:rPr>
                <w:b/>
                <w:u w:val="single"/>
              </w:rPr>
              <w:t>*Toepassingen:</w:t>
            </w:r>
          </w:p>
        </w:tc>
        <w:tc>
          <w:tcPr>
            <w:tcW w:w="6187" w:type="dxa"/>
          </w:tcPr>
          <w:p w14:paraId="3EF3E28C" w14:textId="77777777" w:rsidR="003A792A" w:rsidRDefault="003A792A">
            <w:r w:rsidRPr="003A792A">
              <w:rPr>
                <w:sz w:val="18"/>
              </w:rPr>
              <w:t>RAUW – POCHEREN – FRITUREN – BAKKEN – STOVEN – STOMEN – IN FUMETS</w:t>
            </w:r>
          </w:p>
        </w:tc>
      </w:tr>
      <w:tr w:rsidR="003A792A" w14:paraId="10E723E2" w14:textId="77777777" w:rsidTr="00F862F0">
        <w:tc>
          <w:tcPr>
            <w:tcW w:w="2875" w:type="dxa"/>
          </w:tcPr>
          <w:p w14:paraId="161A90E0" w14:textId="77777777" w:rsidR="003A792A" w:rsidRPr="003A792A" w:rsidRDefault="003A792A" w:rsidP="003A792A">
            <w:pPr>
              <w:rPr>
                <w:b/>
                <w:u w:val="single"/>
              </w:rPr>
            </w:pPr>
            <w:r>
              <w:rPr>
                <w:b/>
                <w:u w:val="single"/>
              </w:rPr>
              <w:t xml:space="preserve">*Wat denkt u?: </w:t>
            </w:r>
          </w:p>
        </w:tc>
        <w:tc>
          <w:tcPr>
            <w:tcW w:w="6187" w:type="dxa"/>
          </w:tcPr>
          <w:p w14:paraId="14348E1C" w14:textId="77777777" w:rsidR="003A792A" w:rsidRDefault="003A792A">
            <w:r>
              <w:t>Zou u dit product op uw à la carte zetten? : JA / NEEN</w:t>
            </w:r>
          </w:p>
          <w:p w14:paraId="3F3C8C82" w14:textId="77777777" w:rsidR="003A792A" w:rsidRDefault="003A792A">
            <w:r>
              <w:t>Zou u dit product in uw menu verwerken? : JA / NEEN</w:t>
            </w:r>
          </w:p>
        </w:tc>
      </w:tr>
      <w:tr w:rsidR="00F862F0" w14:paraId="6AD9D376" w14:textId="77777777" w:rsidTr="00F862F0">
        <w:tc>
          <w:tcPr>
            <w:tcW w:w="9062" w:type="dxa"/>
            <w:gridSpan w:val="2"/>
          </w:tcPr>
          <w:p w14:paraId="34A68E20" w14:textId="77777777" w:rsidR="00F862F0" w:rsidRDefault="00F862F0" w:rsidP="00F862F0">
            <w:pPr>
              <w:rPr>
                <w:sz w:val="18"/>
                <w:szCs w:val="18"/>
              </w:rPr>
            </w:pPr>
            <w:r>
              <w:rPr>
                <w:noProof/>
                <w:sz w:val="18"/>
                <w:szCs w:val="18"/>
              </w:rPr>
              <w:drawing>
                <wp:anchor distT="0" distB="0" distL="114300" distR="114300" simplePos="0" relativeHeight="251659264" behindDoc="1" locked="0" layoutInCell="1" allowOverlap="1" wp14:anchorId="6F972534" wp14:editId="147B38B9">
                  <wp:simplePos x="0" y="0"/>
                  <wp:positionH relativeFrom="column">
                    <wp:posOffset>4733925</wp:posOffset>
                  </wp:positionH>
                  <wp:positionV relativeFrom="paragraph">
                    <wp:posOffset>34925</wp:posOffset>
                  </wp:positionV>
                  <wp:extent cx="666750" cy="337185"/>
                  <wp:effectExtent l="0" t="0" r="0" b="5715"/>
                  <wp:wrapTight wrapText="bothSides">
                    <wp:wrapPolygon edited="0">
                      <wp:start x="0" y="0"/>
                      <wp:lineTo x="0" y="20746"/>
                      <wp:lineTo x="20983" y="20746"/>
                      <wp:lineTo x="2098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37185"/>
                          </a:xfrm>
                          <a:prstGeom prst="rect">
                            <a:avLst/>
                          </a:prstGeom>
                        </pic:spPr>
                      </pic:pic>
                    </a:graphicData>
                  </a:graphic>
                  <wp14:sizeRelH relativeFrom="margin">
                    <wp14:pctWidth>0</wp14:pctWidth>
                  </wp14:sizeRelH>
                  <wp14:sizeRelV relativeFrom="margin">
                    <wp14:pctHeight>0</wp14:pctHeight>
                  </wp14:sizeRelV>
                </wp:anchor>
              </w:drawing>
            </w:r>
            <w:r w:rsidRPr="00E82456">
              <w:rPr>
                <w:sz w:val="18"/>
                <w:szCs w:val="18"/>
              </w:rPr>
              <w:t xml:space="preserve">Info: </w:t>
            </w:r>
          </w:p>
          <w:p w14:paraId="74A7340B" w14:textId="77777777" w:rsidR="00F862F0" w:rsidRDefault="00F862F0" w:rsidP="00F862F0">
            <w:pPr>
              <w:rPr>
                <w:sz w:val="18"/>
                <w:szCs w:val="18"/>
              </w:rPr>
            </w:pPr>
            <w:r w:rsidRPr="00E82456">
              <w:rPr>
                <w:sz w:val="18"/>
                <w:szCs w:val="18"/>
              </w:rPr>
              <w:t xml:space="preserve">VLIZ. Het Vlaams Instituut voor de Zee (VLIZ – </w:t>
            </w:r>
            <w:hyperlink r:id="rId10" w:history="1">
              <w:r w:rsidRPr="00CE4330">
                <w:rPr>
                  <w:rStyle w:val="Hyperlink"/>
                  <w:sz w:val="18"/>
                  <w:szCs w:val="18"/>
                </w:rPr>
                <w:t>www.vliz.be</w:t>
              </w:r>
            </w:hyperlink>
            <w:r w:rsidRPr="00E82456">
              <w:rPr>
                <w:sz w:val="18"/>
                <w:szCs w:val="18"/>
              </w:rPr>
              <w:t xml:space="preserve">) </w:t>
            </w:r>
          </w:p>
          <w:p w14:paraId="0E58419D" w14:textId="4D8482B4" w:rsidR="00F862F0" w:rsidRDefault="00F862F0" w:rsidP="00F862F0">
            <w:r>
              <w:rPr>
                <w:sz w:val="18"/>
                <w:szCs w:val="18"/>
              </w:rPr>
              <w:t xml:space="preserve">ILVO. Instituut voor Landbouw en Visserij Onderzoek </w:t>
            </w:r>
            <w:hyperlink r:id="rId11" w:history="1">
              <w:r w:rsidRPr="00CE4330">
                <w:rPr>
                  <w:rStyle w:val="Hyperlink"/>
                  <w:sz w:val="18"/>
                  <w:szCs w:val="18"/>
                </w:rPr>
                <w:t>www.ilvo.vlaanderen.be</w:t>
              </w:r>
            </w:hyperlink>
            <w:r>
              <w:rPr>
                <w:sz w:val="18"/>
                <w:szCs w:val="18"/>
              </w:rPr>
              <w:t xml:space="preserve"> </w:t>
            </w:r>
          </w:p>
        </w:tc>
      </w:tr>
    </w:tbl>
    <w:p w14:paraId="4192553F" w14:textId="1970CB18" w:rsidR="003A76F2" w:rsidRDefault="003A792A" w:rsidP="003A792A">
      <w:r>
        <w:t>*Schrappen wat niet past</w:t>
      </w:r>
      <w:r>
        <w:tab/>
      </w:r>
      <w:r>
        <w:tab/>
      </w:r>
      <w:r>
        <w:tab/>
      </w:r>
      <w:r>
        <w:tab/>
      </w:r>
      <w:r>
        <w:tab/>
      </w:r>
      <w:r>
        <w:tab/>
      </w:r>
      <w:r>
        <w:tab/>
        <w:t>NorthSeaChefs 20</w:t>
      </w:r>
      <w:r w:rsidR="00F862F0">
        <w:t>20</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130B43"/>
    <w:rsid w:val="00302073"/>
    <w:rsid w:val="00317999"/>
    <w:rsid w:val="003A76F2"/>
    <w:rsid w:val="003A792A"/>
    <w:rsid w:val="003D2919"/>
    <w:rsid w:val="00631BBE"/>
    <w:rsid w:val="00784F70"/>
    <w:rsid w:val="009711A4"/>
    <w:rsid w:val="00A65D7C"/>
    <w:rsid w:val="00B748BC"/>
    <w:rsid w:val="00B93C5D"/>
    <w:rsid w:val="00BC7B05"/>
    <w:rsid w:val="00C64C1E"/>
    <w:rsid w:val="00F862F0"/>
    <w:rsid w:val="00FC5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CE4E"/>
  <w15:docId w15:val="{2B87A38A-9AF4-4F9A-9FBE-488E6FB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631BBE"/>
    <w:rPr>
      <w:color w:val="0000FF" w:themeColor="hyperlink"/>
      <w:u w:val="single"/>
    </w:rPr>
  </w:style>
  <w:style w:type="character" w:styleId="Onopgelostemelding">
    <w:name w:val="Unresolved Mention"/>
    <w:basedOn w:val="Standaardalinea-lettertype"/>
    <w:uiPriority w:val="99"/>
    <w:semiHidden/>
    <w:unhideWhenUsed/>
    <w:rsid w:val="0063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evruchtengids.org/nl/pijlinktv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www.ilvo.vlaanderen.be" TargetMode="External"/><Relationship Id="rId5" Type="http://schemas.openxmlformats.org/officeDocument/2006/relationships/image" Target="media/image1.jpeg"/><Relationship Id="rId10" Type="http://schemas.openxmlformats.org/officeDocument/2006/relationships/hyperlink" Target="http://www.vliz.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12</cp:revision>
  <dcterms:created xsi:type="dcterms:W3CDTF">2019-01-09T10:17:00Z</dcterms:created>
  <dcterms:modified xsi:type="dcterms:W3CDTF">2022-03-25T12:51:00Z</dcterms:modified>
</cp:coreProperties>
</file>