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75"/>
        <w:gridCol w:w="6187"/>
      </w:tblGrid>
      <w:tr w:rsidR="00FC5812" w14:paraId="0128B993" w14:textId="77777777" w:rsidTr="00A40D98">
        <w:trPr>
          <w:trHeight w:val="558"/>
        </w:trPr>
        <w:tc>
          <w:tcPr>
            <w:tcW w:w="2875" w:type="dxa"/>
            <w:vMerge w:val="restart"/>
          </w:tcPr>
          <w:p w14:paraId="3FAD73ED" w14:textId="330DAD60" w:rsidR="00FC5812" w:rsidRDefault="00F05512" w:rsidP="009711A4">
            <w:pPr>
              <w:jc w:val="center"/>
            </w:pPr>
            <w:r>
              <w:rPr>
                <w:noProof/>
              </w:rPr>
              <w:drawing>
                <wp:inline distT="0" distB="0" distL="0" distR="0" wp14:anchorId="2EC0F905" wp14:editId="7890ACF2">
                  <wp:extent cx="1080000" cy="1080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87" w:type="dxa"/>
            <w:shd w:val="clear" w:color="auto" w:fill="B8CCE4" w:themeFill="accent1" w:themeFillTint="66"/>
          </w:tcPr>
          <w:p w14:paraId="7C45144D" w14:textId="77777777" w:rsidR="00FC5812" w:rsidRPr="00FC5812" w:rsidRDefault="00FC5812" w:rsidP="00FC5812">
            <w:pPr>
              <w:jc w:val="center"/>
              <w:rPr>
                <w:b/>
              </w:rPr>
            </w:pPr>
            <w:r w:rsidRPr="00FC5812">
              <w:rPr>
                <w:b/>
                <w:sz w:val="32"/>
              </w:rPr>
              <w:t>Technische fiche</w:t>
            </w:r>
          </w:p>
        </w:tc>
      </w:tr>
      <w:tr w:rsidR="00FC5812" w14:paraId="3D294E38" w14:textId="77777777" w:rsidTr="00A40D98">
        <w:trPr>
          <w:trHeight w:val="269"/>
        </w:trPr>
        <w:tc>
          <w:tcPr>
            <w:tcW w:w="2875" w:type="dxa"/>
            <w:vMerge/>
            <w:tcBorders>
              <w:bottom w:val="single" w:sz="4" w:space="0" w:color="auto"/>
            </w:tcBorders>
          </w:tcPr>
          <w:p w14:paraId="1263E996" w14:textId="77777777" w:rsidR="00FC5812" w:rsidRDefault="00FC5812"/>
        </w:tc>
        <w:tc>
          <w:tcPr>
            <w:tcW w:w="6187" w:type="dxa"/>
            <w:vMerge w:val="restart"/>
            <w:tcBorders>
              <w:bottom w:val="single" w:sz="4" w:space="0" w:color="auto"/>
            </w:tcBorders>
          </w:tcPr>
          <w:p w14:paraId="1E04E747" w14:textId="77777777" w:rsidR="00FC5812" w:rsidRDefault="00647CAD" w:rsidP="00FC5812">
            <w:pPr>
              <w:jc w:val="center"/>
            </w:pPr>
            <w:r>
              <w:rPr>
                <w:noProof/>
              </w:rPr>
              <w:drawing>
                <wp:inline distT="0" distB="0" distL="0" distR="0" wp14:anchorId="5F657196" wp14:editId="326326A9">
                  <wp:extent cx="3086100" cy="1255599"/>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ndshaai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053" cy="1261276"/>
                          </a:xfrm>
                          <a:prstGeom prst="rect">
                            <a:avLst/>
                          </a:prstGeom>
                        </pic:spPr>
                      </pic:pic>
                    </a:graphicData>
                  </a:graphic>
                </wp:inline>
              </w:drawing>
            </w:r>
          </w:p>
        </w:tc>
      </w:tr>
      <w:tr w:rsidR="00FC5812" w14:paraId="332F8283" w14:textId="77777777" w:rsidTr="00A40D98">
        <w:trPr>
          <w:trHeight w:val="547"/>
        </w:trPr>
        <w:tc>
          <w:tcPr>
            <w:tcW w:w="2875" w:type="dxa"/>
            <w:shd w:val="clear" w:color="auto" w:fill="B8CCE4" w:themeFill="accent1" w:themeFillTint="66"/>
          </w:tcPr>
          <w:p w14:paraId="74AA9E1C" w14:textId="77777777" w:rsidR="00FC5812" w:rsidRPr="00FC5812" w:rsidRDefault="00FC5812" w:rsidP="00FC5812">
            <w:pPr>
              <w:jc w:val="center"/>
              <w:rPr>
                <w:b/>
                <w:u w:val="single"/>
              </w:rPr>
            </w:pPr>
            <w:r w:rsidRPr="00FC5812">
              <w:rPr>
                <w:b/>
                <w:u w:val="single"/>
              </w:rPr>
              <w:t>Productomschrijving:</w:t>
            </w:r>
          </w:p>
          <w:p w14:paraId="50807F92" w14:textId="77777777" w:rsidR="00FC5812" w:rsidRPr="00D52492" w:rsidRDefault="00D52492" w:rsidP="00FC5812">
            <w:pPr>
              <w:jc w:val="center"/>
              <w:rPr>
                <w:b/>
              </w:rPr>
            </w:pPr>
            <w:r w:rsidRPr="00D52492">
              <w:rPr>
                <w:b/>
              </w:rPr>
              <w:t>HONDSHAAI</w:t>
            </w:r>
          </w:p>
          <w:p w14:paraId="6CAAF75A" w14:textId="77777777" w:rsidR="00D52492" w:rsidRPr="00A40D98" w:rsidRDefault="00D52492" w:rsidP="00FC5812">
            <w:pPr>
              <w:jc w:val="center"/>
              <w:rPr>
                <w:i/>
                <w:iCs/>
              </w:rPr>
            </w:pPr>
            <w:r w:rsidRPr="00A40D98">
              <w:rPr>
                <w:b/>
                <w:i/>
                <w:iCs/>
              </w:rPr>
              <w:t>Scyliorhinus canicula</w:t>
            </w:r>
          </w:p>
        </w:tc>
        <w:tc>
          <w:tcPr>
            <w:tcW w:w="6187" w:type="dxa"/>
            <w:vMerge/>
          </w:tcPr>
          <w:p w14:paraId="75E02670" w14:textId="77777777" w:rsidR="00FC5812" w:rsidRDefault="00FC5812"/>
        </w:tc>
      </w:tr>
      <w:tr w:rsidR="00FC5812" w14:paraId="7F1A80CA" w14:textId="77777777" w:rsidTr="00A40D98">
        <w:tc>
          <w:tcPr>
            <w:tcW w:w="2875" w:type="dxa"/>
          </w:tcPr>
          <w:p w14:paraId="40AE9DC0" w14:textId="77777777" w:rsidR="00FC5812" w:rsidRPr="00FC5812" w:rsidRDefault="00FC5812" w:rsidP="00FC5812">
            <w:pPr>
              <w:rPr>
                <w:u w:val="single"/>
              </w:rPr>
            </w:pPr>
            <w:r w:rsidRPr="00FC5812">
              <w:rPr>
                <w:b/>
                <w:u w:val="single"/>
              </w:rPr>
              <w:t>Eigenschappen</w:t>
            </w:r>
            <w:r w:rsidRPr="00FC5812">
              <w:rPr>
                <w:u w:val="single"/>
              </w:rPr>
              <w:t>:</w:t>
            </w:r>
          </w:p>
        </w:tc>
        <w:tc>
          <w:tcPr>
            <w:tcW w:w="6187" w:type="dxa"/>
          </w:tcPr>
          <w:p w14:paraId="05E6B781" w14:textId="77777777" w:rsidR="00FC5812" w:rsidRPr="00F05512" w:rsidRDefault="00D52492" w:rsidP="003A792A">
            <w:pPr>
              <w:rPr>
                <w:rFonts w:cstheme="minorHAnsi"/>
                <w:sz w:val="19"/>
                <w:szCs w:val="19"/>
              </w:rPr>
            </w:pPr>
            <w:r w:rsidRPr="00F05512">
              <w:rPr>
                <w:rFonts w:cstheme="minorHAnsi"/>
                <w:sz w:val="19"/>
                <w:szCs w:val="19"/>
              </w:rPr>
              <w:t>De hondshaai is een kleine slanke haai te herkennen aan zijn k</w:t>
            </w:r>
            <w:r w:rsidR="00303C69" w:rsidRPr="00F05512">
              <w:rPr>
                <w:rFonts w:cstheme="minorHAnsi"/>
                <w:sz w:val="19"/>
                <w:szCs w:val="19"/>
              </w:rPr>
              <w:t>o</w:t>
            </w:r>
            <w:r w:rsidRPr="00F05512">
              <w:rPr>
                <w:rFonts w:cstheme="minorHAnsi"/>
                <w:sz w:val="19"/>
                <w:szCs w:val="19"/>
              </w:rPr>
              <w:t>rte brede snuit in combinatie met de vele bruine vlekjes op de lichtbruine tot grijze huid. Onderaan is de hondshaai vuilwit. De huid is zo ruw als schuurpapier.</w:t>
            </w:r>
            <w:r w:rsidR="00647CAD" w:rsidRPr="00F05512">
              <w:rPr>
                <w:rFonts w:cstheme="minorHAnsi"/>
                <w:sz w:val="19"/>
                <w:szCs w:val="19"/>
              </w:rPr>
              <w:t xml:space="preserve"> Hondshaaien worden al eens verward met de veel zeldzamere kathaai. Deze heeft een ander vlekkenpatroon met grotere, verder van elkaar staande vlekken op de huid. Maar als je zeker wil spelen, kijk je best naar de neusgroeven (onderaan): bij kathaai zijn deze niet verbonden met de mond, terwijl die bij hondshaai uitlopen in de mond. </w:t>
            </w:r>
          </w:p>
        </w:tc>
      </w:tr>
      <w:tr w:rsidR="00FC5812" w14:paraId="6CE01D67" w14:textId="77777777" w:rsidTr="00A40D98">
        <w:tc>
          <w:tcPr>
            <w:tcW w:w="2875" w:type="dxa"/>
          </w:tcPr>
          <w:p w14:paraId="36CBB6AD" w14:textId="77777777" w:rsidR="00FC5812" w:rsidRPr="00FC5812" w:rsidRDefault="00FC5812" w:rsidP="00FC5812">
            <w:pPr>
              <w:rPr>
                <w:b/>
                <w:u w:val="single"/>
              </w:rPr>
            </w:pPr>
            <w:r>
              <w:rPr>
                <w:b/>
                <w:u w:val="single"/>
              </w:rPr>
              <w:t>Herkomst:</w:t>
            </w:r>
          </w:p>
        </w:tc>
        <w:tc>
          <w:tcPr>
            <w:tcW w:w="6187" w:type="dxa"/>
          </w:tcPr>
          <w:p w14:paraId="402BD6E6" w14:textId="7A8AAA5E" w:rsidR="00FC5812" w:rsidRPr="00F05512" w:rsidRDefault="00647CAD">
            <w:pPr>
              <w:rPr>
                <w:rFonts w:cstheme="minorHAnsi"/>
                <w:sz w:val="19"/>
                <w:szCs w:val="19"/>
              </w:rPr>
            </w:pPr>
            <w:r w:rsidRPr="00F05512">
              <w:rPr>
                <w:rFonts w:cstheme="minorHAnsi"/>
                <w:sz w:val="19"/>
                <w:szCs w:val="19"/>
              </w:rPr>
              <w:t xml:space="preserve">Onze Belgische vissers halen ze vooral boven in het westelijke deel van de Noordzee, in de Keltische en Ierse zee en in mindere mate in de Golf van Biskaje. </w:t>
            </w:r>
            <w:r w:rsidRPr="00F05512">
              <w:rPr>
                <w:rFonts w:cstheme="minorHAnsi"/>
                <w:color w:val="000000"/>
                <w:sz w:val="19"/>
                <w:szCs w:val="19"/>
                <w:shd w:val="clear" w:color="auto" w:fill="FFFFFF"/>
              </w:rPr>
              <w:t>In 20</w:t>
            </w:r>
            <w:r w:rsidR="009E6E75">
              <w:rPr>
                <w:rFonts w:cstheme="minorHAnsi"/>
                <w:color w:val="000000"/>
                <w:sz w:val="19"/>
                <w:szCs w:val="19"/>
                <w:shd w:val="clear" w:color="auto" w:fill="FFFFFF"/>
              </w:rPr>
              <w:t>20</w:t>
            </w:r>
            <w:r w:rsidRPr="00F05512">
              <w:rPr>
                <w:rFonts w:cstheme="minorHAnsi"/>
                <w:color w:val="000000"/>
                <w:sz w:val="19"/>
                <w:szCs w:val="19"/>
                <w:shd w:val="clear" w:color="auto" w:fill="FFFFFF"/>
              </w:rPr>
              <w:t xml:space="preserve"> landden Belgische vissers 5</w:t>
            </w:r>
            <w:r w:rsidR="009E6E75">
              <w:rPr>
                <w:rFonts w:cstheme="minorHAnsi"/>
                <w:color w:val="000000"/>
                <w:sz w:val="19"/>
                <w:szCs w:val="19"/>
                <w:shd w:val="clear" w:color="auto" w:fill="FFFFFF"/>
              </w:rPr>
              <w:t>25</w:t>
            </w:r>
            <w:r w:rsidRPr="00F05512">
              <w:rPr>
                <w:rFonts w:cstheme="minorHAnsi"/>
                <w:color w:val="000000"/>
                <w:sz w:val="19"/>
                <w:szCs w:val="19"/>
                <w:shd w:val="clear" w:color="auto" w:fill="FFFFFF"/>
              </w:rPr>
              <w:t xml:space="preserve"> ton hondshaai </w:t>
            </w:r>
            <w:r w:rsidR="009E6E75">
              <w:rPr>
                <w:rFonts w:cstheme="minorHAnsi"/>
                <w:color w:val="000000"/>
                <w:sz w:val="19"/>
                <w:szCs w:val="19"/>
                <w:shd w:val="clear" w:color="auto" w:fill="FFFFFF"/>
              </w:rPr>
              <w:t xml:space="preserve">(en andere haaiensoorten) </w:t>
            </w:r>
            <w:r w:rsidRPr="00F05512">
              <w:rPr>
                <w:rFonts w:cstheme="minorHAnsi"/>
                <w:color w:val="000000"/>
                <w:sz w:val="19"/>
                <w:szCs w:val="19"/>
                <w:shd w:val="clear" w:color="auto" w:fill="FFFFFF"/>
              </w:rPr>
              <w:t>aan</w:t>
            </w:r>
            <w:r w:rsidR="00A40D98">
              <w:rPr>
                <w:rFonts w:cstheme="minorHAnsi"/>
                <w:color w:val="000000"/>
                <w:sz w:val="19"/>
                <w:szCs w:val="19"/>
                <w:shd w:val="clear" w:color="auto" w:fill="FFFFFF"/>
              </w:rPr>
              <w:t xml:space="preserve"> in Belgische havens</w:t>
            </w:r>
            <w:r w:rsidRPr="00F05512">
              <w:rPr>
                <w:rFonts w:cstheme="minorHAnsi"/>
                <w:color w:val="000000"/>
                <w:sz w:val="19"/>
                <w:szCs w:val="19"/>
                <w:shd w:val="clear" w:color="auto" w:fill="FFFFFF"/>
              </w:rPr>
              <w:t xml:space="preserve"> als bijvangst met de boomkor.</w:t>
            </w:r>
            <w:r w:rsidR="00262017" w:rsidRPr="00F05512">
              <w:rPr>
                <w:rFonts w:cstheme="minorHAnsi"/>
                <w:color w:val="000000"/>
                <w:sz w:val="19"/>
                <w:szCs w:val="19"/>
                <w:shd w:val="clear" w:color="auto" w:fill="FFFFFF"/>
              </w:rPr>
              <w:t xml:space="preserve"> De gemiddelde prijs bedroeg €0,</w:t>
            </w:r>
            <w:r w:rsidR="002564C7">
              <w:rPr>
                <w:rFonts w:cstheme="minorHAnsi"/>
                <w:color w:val="000000"/>
                <w:sz w:val="19"/>
                <w:szCs w:val="19"/>
                <w:shd w:val="clear" w:color="auto" w:fill="FFFFFF"/>
              </w:rPr>
              <w:t>47</w:t>
            </w:r>
            <w:r w:rsidR="00262017" w:rsidRPr="00F05512">
              <w:rPr>
                <w:rFonts w:cstheme="minorHAnsi"/>
                <w:color w:val="000000"/>
                <w:sz w:val="19"/>
                <w:szCs w:val="19"/>
                <w:shd w:val="clear" w:color="auto" w:fill="FFFFFF"/>
              </w:rPr>
              <w:t>/kg</w:t>
            </w:r>
            <w:r w:rsidRPr="00F05512">
              <w:rPr>
                <w:rFonts w:cstheme="minorHAnsi"/>
                <w:color w:val="000000"/>
                <w:sz w:val="19"/>
                <w:szCs w:val="19"/>
                <w:shd w:val="clear" w:color="auto" w:fill="FFFFFF"/>
              </w:rPr>
              <w:t>. Het ontvilde vlees van hondshaai wordt nog steeds foutief verkocht onder de naam ‘zeepaling’. In onze buurlanden komen gelijkaardige handelspraktijken voor: in Wallonië en Frankrijk komt hondshaai er soms in de handel als ‘saumonette’ (kleine zalm). Helaas beland 15% van de hondshaai aanlandingen in veevoeder of cosmetica.</w:t>
            </w:r>
          </w:p>
        </w:tc>
      </w:tr>
      <w:tr w:rsidR="00FC5812" w14:paraId="5794E66F" w14:textId="77777777" w:rsidTr="00A40D98">
        <w:tc>
          <w:tcPr>
            <w:tcW w:w="2875" w:type="dxa"/>
          </w:tcPr>
          <w:p w14:paraId="6CD4EF2D" w14:textId="77777777" w:rsidR="00FC5812" w:rsidRPr="00FC5812" w:rsidRDefault="00FC5812" w:rsidP="00FC5812">
            <w:pPr>
              <w:rPr>
                <w:b/>
                <w:u w:val="single"/>
              </w:rPr>
            </w:pPr>
            <w:r>
              <w:rPr>
                <w:b/>
                <w:u w:val="single"/>
              </w:rPr>
              <w:t>Paaitijd</w:t>
            </w:r>
          </w:p>
        </w:tc>
        <w:tc>
          <w:tcPr>
            <w:tcW w:w="6187" w:type="dxa"/>
          </w:tcPr>
          <w:p w14:paraId="3FE88DCE" w14:textId="77777777" w:rsidR="00FC5812" w:rsidRPr="00F05512" w:rsidRDefault="00647CAD">
            <w:pPr>
              <w:rPr>
                <w:rFonts w:cstheme="minorHAnsi"/>
                <w:sz w:val="19"/>
                <w:szCs w:val="19"/>
              </w:rPr>
            </w:pPr>
            <w:r w:rsidRPr="00F05512">
              <w:rPr>
                <w:rFonts w:cstheme="minorHAnsi"/>
                <w:sz w:val="19"/>
                <w:szCs w:val="19"/>
              </w:rPr>
              <w:t>Hondshaai wordt, in vergelijking met andere haaien, relatief snel geslachtsrijp en ze produceren relatief veel eieren, waardoor de soort minder vatbaar is voor overbevissing.  De soort legt per paaiseizoen een 30 tot 60-tal eieren (in olijfkleurige kapsels), die 5-11 maanden de tijd nodig hebben om uit te komen. Eikapsels worden doorheen gans het jaar afgezet, maar met een piek in juni-juli.</w:t>
            </w:r>
          </w:p>
        </w:tc>
      </w:tr>
      <w:tr w:rsidR="00FC5812" w14:paraId="47C51D90" w14:textId="77777777" w:rsidTr="00A40D98">
        <w:tc>
          <w:tcPr>
            <w:tcW w:w="2875" w:type="dxa"/>
          </w:tcPr>
          <w:p w14:paraId="06591EEC" w14:textId="77777777" w:rsidR="00FC5812" w:rsidRPr="00FC5812" w:rsidRDefault="00FC5812" w:rsidP="00FC5812">
            <w:pPr>
              <w:rPr>
                <w:b/>
                <w:u w:val="single"/>
              </w:rPr>
            </w:pPr>
            <w:r>
              <w:rPr>
                <w:b/>
                <w:u w:val="single"/>
              </w:rPr>
              <w:t>Meer algemene info:</w:t>
            </w:r>
          </w:p>
        </w:tc>
        <w:tc>
          <w:tcPr>
            <w:tcW w:w="6187" w:type="dxa"/>
          </w:tcPr>
          <w:p w14:paraId="2403FB1C" w14:textId="24360446" w:rsidR="00FC5812" w:rsidRDefault="002564C7">
            <w:hyperlink r:id="rId7" w:history="1">
              <w:r w:rsidR="00647CAD" w:rsidRPr="006852ED">
                <w:rPr>
                  <w:rStyle w:val="Hyperlink"/>
                </w:rPr>
                <w:t>http://www.zeevruchtengids.org/nl/haaien</w:t>
              </w:r>
            </w:hyperlink>
            <w:r w:rsidR="00647CAD">
              <w:t xml:space="preserve"> </w:t>
            </w:r>
            <w:r w:rsidR="00A40D98">
              <w:t xml:space="preserve">  /  Sportvisserij Nederland   /    </w:t>
            </w:r>
            <w:hyperlink r:id="rId8" w:history="1">
              <w:r w:rsidR="00A40D98" w:rsidRPr="00CE4330">
                <w:rPr>
                  <w:rStyle w:val="Hyperlink"/>
                </w:rPr>
                <w:t>https://geofish.be/</w:t>
              </w:r>
            </w:hyperlink>
          </w:p>
        </w:tc>
      </w:tr>
      <w:tr w:rsidR="003A792A" w14:paraId="18658A34" w14:textId="77777777" w:rsidTr="00A40D98">
        <w:tc>
          <w:tcPr>
            <w:tcW w:w="9062" w:type="dxa"/>
            <w:gridSpan w:val="2"/>
            <w:shd w:val="clear" w:color="auto" w:fill="B8CCE4" w:themeFill="accent1" w:themeFillTint="66"/>
          </w:tcPr>
          <w:p w14:paraId="700C0696" w14:textId="77777777" w:rsidR="003A792A" w:rsidRPr="003A792A" w:rsidRDefault="003A792A" w:rsidP="003A792A">
            <w:pPr>
              <w:jc w:val="center"/>
              <w:rPr>
                <w:b/>
              </w:rPr>
            </w:pPr>
            <w:r w:rsidRPr="003A792A">
              <w:rPr>
                <w:b/>
              </w:rPr>
              <w:t>In te vullen door de chef</w:t>
            </w:r>
          </w:p>
        </w:tc>
      </w:tr>
      <w:tr w:rsidR="003A792A" w14:paraId="07BC3ED7" w14:textId="77777777" w:rsidTr="00A40D98">
        <w:tc>
          <w:tcPr>
            <w:tcW w:w="2875" w:type="dxa"/>
          </w:tcPr>
          <w:p w14:paraId="0A739AFA" w14:textId="77777777" w:rsidR="003A792A" w:rsidRDefault="003A792A" w:rsidP="00FC5812">
            <w:pPr>
              <w:rPr>
                <w:b/>
                <w:u w:val="single"/>
              </w:rPr>
            </w:pPr>
            <w:r>
              <w:rPr>
                <w:b/>
                <w:u w:val="single"/>
              </w:rPr>
              <w:t>Houdbaarheid / THT</w:t>
            </w:r>
          </w:p>
        </w:tc>
        <w:tc>
          <w:tcPr>
            <w:tcW w:w="6187" w:type="dxa"/>
          </w:tcPr>
          <w:p w14:paraId="100D1123" w14:textId="77777777" w:rsidR="003A792A" w:rsidRDefault="003A792A">
            <w:r>
              <w:t>Vers aangeleverd:                                              Diepgevroren:</w:t>
            </w:r>
          </w:p>
          <w:p w14:paraId="6057148D" w14:textId="77777777" w:rsidR="003A792A" w:rsidRDefault="003A792A"/>
        </w:tc>
      </w:tr>
      <w:tr w:rsidR="003A792A" w14:paraId="60CA5A3C" w14:textId="77777777" w:rsidTr="00A40D98">
        <w:tc>
          <w:tcPr>
            <w:tcW w:w="2875" w:type="dxa"/>
          </w:tcPr>
          <w:p w14:paraId="5BC37ADF" w14:textId="77777777" w:rsidR="003A792A" w:rsidRDefault="003A792A" w:rsidP="00FC5812">
            <w:pPr>
              <w:rPr>
                <w:b/>
                <w:u w:val="single"/>
              </w:rPr>
            </w:pPr>
            <w:r>
              <w:rPr>
                <w:b/>
                <w:u w:val="single"/>
              </w:rPr>
              <w:t>Rendement:</w:t>
            </w:r>
          </w:p>
        </w:tc>
        <w:tc>
          <w:tcPr>
            <w:tcW w:w="6187" w:type="dxa"/>
          </w:tcPr>
          <w:p w14:paraId="754DA2C3" w14:textId="77777777" w:rsidR="003A792A" w:rsidRDefault="003A792A"/>
          <w:p w14:paraId="3E6A064E" w14:textId="77777777" w:rsidR="003A792A" w:rsidRDefault="003A792A"/>
          <w:p w14:paraId="58A22DF8" w14:textId="77777777" w:rsidR="003A792A" w:rsidRDefault="003A792A"/>
        </w:tc>
      </w:tr>
      <w:tr w:rsidR="003A792A" w14:paraId="75B7DC55" w14:textId="77777777" w:rsidTr="00A40D98">
        <w:tc>
          <w:tcPr>
            <w:tcW w:w="2875" w:type="dxa"/>
          </w:tcPr>
          <w:p w14:paraId="4DF49327" w14:textId="77777777" w:rsidR="003A792A" w:rsidRDefault="003A792A" w:rsidP="00FC5812">
            <w:pPr>
              <w:rPr>
                <w:b/>
                <w:u w:val="single"/>
              </w:rPr>
            </w:pPr>
            <w:r>
              <w:rPr>
                <w:b/>
                <w:u w:val="single"/>
              </w:rPr>
              <w:t>Eigen bevindingen:</w:t>
            </w:r>
          </w:p>
        </w:tc>
        <w:tc>
          <w:tcPr>
            <w:tcW w:w="6187" w:type="dxa"/>
          </w:tcPr>
          <w:p w14:paraId="3ABE1377" w14:textId="77777777" w:rsidR="003A792A" w:rsidRDefault="003A792A"/>
          <w:p w14:paraId="28FD7CF8" w14:textId="77777777" w:rsidR="003A792A" w:rsidRDefault="003A792A"/>
          <w:p w14:paraId="1FB00D8A" w14:textId="77777777" w:rsidR="003A792A" w:rsidRDefault="003A792A"/>
          <w:p w14:paraId="400419A3" w14:textId="77777777" w:rsidR="003A792A" w:rsidRDefault="003A792A"/>
          <w:p w14:paraId="78584606" w14:textId="77777777" w:rsidR="003A792A" w:rsidRDefault="003A792A"/>
          <w:p w14:paraId="6D833CC7" w14:textId="77777777" w:rsidR="003A792A" w:rsidRDefault="003A792A"/>
          <w:p w14:paraId="5EBF8E02" w14:textId="77777777" w:rsidR="003A792A" w:rsidRDefault="003A792A"/>
        </w:tc>
      </w:tr>
      <w:tr w:rsidR="003A792A" w14:paraId="5C02C825" w14:textId="77777777" w:rsidTr="00A40D98">
        <w:tc>
          <w:tcPr>
            <w:tcW w:w="2875" w:type="dxa"/>
          </w:tcPr>
          <w:p w14:paraId="298CA184" w14:textId="77777777" w:rsidR="003A792A" w:rsidRDefault="003A792A" w:rsidP="00FC5812">
            <w:pPr>
              <w:rPr>
                <w:b/>
                <w:u w:val="single"/>
              </w:rPr>
            </w:pPr>
            <w:r>
              <w:rPr>
                <w:b/>
                <w:u w:val="single"/>
              </w:rPr>
              <w:t>*Toepassingen:</w:t>
            </w:r>
          </w:p>
        </w:tc>
        <w:tc>
          <w:tcPr>
            <w:tcW w:w="6187" w:type="dxa"/>
          </w:tcPr>
          <w:p w14:paraId="131D0984" w14:textId="77777777" w:rsidR="003A792A" w:rsidRDefault="003A792A">
            <w:r w:rsidRPr="003A792A">
              <w:rPr>
                <w:sz w:val="18"/>
              </w:rPr>
              <w:t>RAUW – POCHEREN – FRITUREN – BAKKEN – STOVEN – STOMEN – IN FUMETS</w:t>
            </w:r>
          </w:p>
        </w:tc>
      </w:tr>
      <w:tr w:rsidR="003A792A" w14:paraId="19765183" w14:textId="77777777" w:rsidTr="00A40D98">
        <w:tc>
          <w:tcPr>
            <w:tcW w:w="2875" w:type="dxa"/>
          </w:tcPr>
          <w:p w14:paraId="71C5204F" w14:textId="77777777" w:rsidR="003A792A" w:rsidRPr="003A792A" w:rsidRDefault="003A792A" w:rsidP="003A792A">
            <w:pPr>
              <w:rPr>
                <w:b/>
                <w:u w:val="single"/>
              </w:rPr>
            </w:pPr>
            <w:r>
              <w:rPr>
                <w:b/>
                <w:u w:val="single"/>
              </w:rPr>
              <w:t xml:space="preserve">*Wat denkt u?: </w:t>
            </w:r>
          </w:p>
        </w:tc>
        <w:tc>
          <w:tcPr>
            <w:tcW w:w="6187" w:type="dxa"/>
          </w:tcPr>
          <w:p w14:paraId="327573FB" w14:textId="77777777" w:rsidR="003A792A" w:rsidRDefault="003A792A">
            <w:r>
              <w:t>Zou u dit product op uw à la carte zetten? : JA / NEEN</w:t>
            </w:r>
          </w:p>
          <w:p w14:paraId="5EEF32A2" w14:textId="77777777" w:rsidR="003A792A" w:rsidRDefault="003A792A">
            <w:r>
              <w:t>Zou u dit product in uw menu verwerken? : JA / NEEN</w:t>
            </w:r>
          </w:p>
        </w:tc>
      </w:tr>
      <w:tr w:rsidR="00A40D98" w14:paraId="0AF082E7" w14:textId="77777777" w:rsidTr="00A40D98">
        <w:tc>
          <w:tcPr>
            <w:tcW w:w="9062" w:type="dxa"/>
            <w:gridSpan w:val="2"/>
          </w:tcPr>
          <w:p w14:paraId="75715366" w14:textId="77777777" w:rsidR="00A40D98" w:rsidRDefault="00A40D98" w:rsidP="00A40D98">
            <w:pPr>
              <w:rPr>
                <w:sz w:val="18"/>
                <w:szCs w:val="18"/>
              </w:rPr>
            </w:pPr>
            <w:r>
              <w:rPr>
                <w:noProof/>
                <w:sz w:val="18"/>
                <w:szCs w:val="18"/>
              </w:rPr>
              <w:drawing>
                <wp:anchor distT="0" distB="0" distL="114300" distR="114300" simplePos="0" relativeHeight="251659264" behindDoc="1" locked="0" layoutInCell="1" allowOverlap="1" wp14:anchorId="63B248F5" wp14:editId="3785F3EB">
                  <wp:simplePos x="0" y="0"/>
                  <wp:positionH relativeFrom="column">
                    <wp:posOffset>4733925</wp:posOffset>
                  </wp:positionH>
                  <wp:positionV relativeFrom="paragraph">
                    <wp:posOffset>33655</wp:posOffset>
                  </wp:positionV>
                  <wp:extent cx="678180" cy="342900"/>
                  <wp:effectExtent l="0" t="0" r="7620" b="0"/>
                  <wp:wrapTight wrapText="bothSides">
                    <wp:wrapPolygon edited="0">
                      <wp:start x="0" y="0"/>
                      <wp:lineTo x="0" y="20400"/>
                      <wp:lineTo x="21236" y="20400"/>
                      <wp:lineTo x="2123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342900"/>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17996D56" w14:textId="77777777" w:rsidR="00A40D98" w:rsidRDefault="00A40D98" w:rsidP="00A40D98">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6B21CE34" w14:textId="20CEE8D7" w:rsidR="00A40D98" w:rsidRPr="00A40D98" w:rsidRDefault="00A40D98" w:rsidP="00A40D98">
            <w:pPr>
              <w:rPr>
                <w:sz w:val="18"/>
                <w:szCs w:val="18"/>
              </w:rPr>
            </w:pPr>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47DA7B82" w14:textId="5E4FEBBC" w:rsidR="003A76F2" w:rsidRDefault="003A792A" w:rsidP="003A792A">
      <w:r>
        <w:t>*Schrappen wat niet past</w:t>
      </w:r>
      <w:r>
        <w:tab/>
      </w:r>
      <w:r>
        <w:tab/>
      </w:r>
      <w:r>
        <w:tab/>
      </w:r>
      <w:r>
        <w:tab/>
      </w:r>
      <w:r>
        <w:tab/>
      </w:r>
      <w:r>
        <w:tab/>
      </w:r>
      <w:r>
        <w:tab/>
        <w:t>NorthSeaChefs 20</w:t>
      </w:r>
      <w:r w:rsidR="00A40D98">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012FD0"/>
    <w:rsid w:val="002564C7"/>
    <w:rsid w:val="00262017"/>
    <w:rsid w:val="00303C69"/>
    <w:rsid w:val="00317999"/>
    <w:rsid w:val="003A76F2"/>
    <w:rsid w:val="003A792A"/>
    <w:rsid w:val="00647CAD"/>
    <w:rsid w:val="009711A4"/>
    <w:rsid w:val="009E6E75"/>
    <w:rsid w:val="00A40D98"/>
    <w:rsid w:val="00C6250A"/>
    <w:rsid w:val="00C64C1E"/>
    <w:rsid w:val="00D52492"/>
    <w:rsid w:val="00F05512"/>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945D"/>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647CAD"/>
    <w:rPr>
      <w:color w:val="0000FF" w:themeColor="hyperlink"/>
      <w:u w:val="single"/>
    </w:rPr>
  </w:style>
  <w:style w:type="character" w:styleId="Onopgelostemelding">
    <w:name w:val="Unresolved Mention"/>
    <w:basedOn w:val="Standaardalinea-lettertype"/>
    <w:uiPriority w:val="99"/>
    <w:semiHidden/>
    <w:unhideWhenUsed/>
    <w:rsid w:val="0064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haa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11</cp:revision>
  <dcterms:created xsi:type="dcterms:W3CDTF">2019-01-09T07:34:00Z</dcterms:created>
  <dcterms:modified xsi:type="dcterms:W3CDTF">2022-03-25T10:10:00Z</dcterms:modified>
</cp:coreProperties>
</file>