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9D4" w:rsidRPr="006D69D4" w:rsidRDefault="006D69D4" w:rsidP="006D69D4">
      <w:pPr>
        <w:pStyle w:val="DocumentTitle"/>
      </w:pPr>
      <w:bookmarkStart w:id="0" w:name="_GoBack"/>
      <w:bookmarkEnd w:id="0"/>
      <w:r w:rsidRPr="006D69D4">
        <w:t xml:space="preserve">Appeals procedure against internal assessment decisions </w:t>
      </w:r>
    </w:p>
    <w:p w:rsidR="006D69D4" w:rsidRPr="006D69D4" w:rsidRDefault="00327083" w:rsidP="006D69D4">
      <w:pPr>
        <w:pStyle w:val="DocumentTitle"/>
        <w:jc w:val="left"/>
        <w:rPr>
          <w:rFonts w:ascii="Swis721 Lt BT" w:hAnsi="Swis721 Lt BT"/>
          <w:sz w:val="24"/>
          <w:szCs w:val="24"/>
        </w:rPr>
      </w:pPr>
      <w:r>
        <w:rPr>
          <w:rFonts w:ascii="Swis721 Lt BT" w:hAnsi="Swis721 Lt BT"/>
          <w:sz w:val="24"/>
          <w:szCs w:val="24"/>
        </w:rPr>
        <w:t>The Trust</w:t>
      </w:r>
      <w:r w:rsidR="006D69D4" w:rsidRPr="006D69D4">
        <w:rPr>
          <w:rFonts w:ascii="Swis721 Lt BT" w:hAnsi="Swis721 Lt BT"/>
          <w:sz w:val="24"/>
          <w:szCs w:val="24"/>
        </w:rPr>
        <w:t xml:space="preserve"> is committed to ensuring that internal assessments are marked and administered fairly, consistently and in accordance with the awarding body specifications and subject-specific associated documents. </w:t>
      </w:r>
    </w:p>
    <w:p w:rsidR="006D69D4" w:rsidRPr="006D69D4" w:rsidRDefault="006D69D4" w:rsidP="006D69D4">
      <w:pPr>
        <w:pStyle w:val="DocumentTitle"/>
        <w:jc w:val="left"/>
        <w:rPr>
          <w:rFonts w:ascii="Swis721 Lt BT" w:hAnsi="Swis721 Lt BT"/>
          <w:sz w:val="24"/>
          <w:szCs w:val="24"/>
        </w:rPr>
      </w:pPr>
      <w:r w:rsidRPr="006D69D4">
        <w:rPr>
          <w:rFonts w:ascii="Swis721 Lt BT" w:hAnsi="Swis721 Lt BT"/>
          <w:sz w:val="24"/>
          <w:szCs w:val="24"/>
        </w:rPr>
        <w:t xml:space="preserve">This is ensured by: </w:t>
      </w:r>
    </w:p>
    <w:p w:rsidR="006D69D4" w:rsidRPr="006D69D4" w:rsidRDefault="006D69D4" w:rsidP="006D69D4">
      <w:pPr>
        <w:pStyle w:val="DocumentTitle"/>
        <w:numPr>
          <w:ilvl w:val="0"/>
          <w:numId w:val="2"/>
        </w:numPr>
        <w:jc w:val="left"/>
        <w:rPr>
          <w:rFonts w:ascii="Swis721 Lt BT" w:hAnsi="Swis721 Lt BT"/>
          <w:sz w:val="24"/>
          <w:szCs w:val="24"/>
        </w:rPr>
      </w:pPr>
      <w:r w:rsidRPr="006D69D4">
        <w:rPr>
          <w:rFonts w:ascii="Swis721 Lt BT" w:hAnsi="Swis721 Lt BT"/>
          <w:sz w:val="24"/>
          <w:szCs w:val="24"/>
        </w:rPr>
        <w:t xml:space="preserve">Subject staff having the necessary and appropriate knowledge, understanding, skills, and training in this activity </w:t>
      </w:r>
    </w:p>
    <w:p w:rsidR="006D69D4" w:rsidRPr="006D69D4" w:rsidRDefault="006D69D4" w:rsidP="006D69D4">
      <w:pPr>
        <w:pStyle w:val="DocumentTitle"/>
        <w:numPr>
          <w:ilvl w:val="0"/>
          <w:numId w:val="2"/>
        </w:numPr>
        <w:jc w:val="left"/>
        <w:rPr>
          <w:rFonts w:ascii="Swis721 Lt BT" w:hAnsi="Swis721 Lt BT"/>
          <w:sz w:val="24"/>
          <w:szCs w:val="24"/>
        </w:rPr>
      </w:pPr>
      <w:r w:rsidRPr="006D69D4">
        <w:rPr>
          <w:rFonts w:ascii="Swis721 Lt BT" w:hAnsi="Swis721 Lt BT"/>
          <w:sz w:val="24"/>
          <w:szCs w:val="24"/>
        </w:rPr>
        <w:t xml:space="preserve">Subject staff authenticating candidates work according to the requirements of the relevant awarding body </w:t>
      </w:r>
    </w:p>
    <w:p w:rsidR="006D69D4" w:rsidRPr="006D69D4" w:rsidRDefault="006D69D4" w:rsidP="006D69D4">
      <w:pPr>
        <w:pStyle w:val="DocumentTitle"/>
        <w:numPr>
          <w:ilvl w:val="0"/>
          <w:numId w:val="2"/>
        </w:numPr>
        <w:jc w:val="left"/>
        <w:rPr>
          <w:rFonts w:ascii="Swis721 Lt BT" w:hAnsi="Swis721 Lt BT"/>
          <w:sz w:val="24"/>
          <w:szCs w:val="24"/>
        </w:rPr>
      </w:pPr>
      <w:r w:rsidRPr="006D69D4">
        <w:rPr>
          <w:rFonts w:ascii="Swis721 Lt BT" w:hAnsi="Swis721 Lt BT"/>
          <w:sz w:val="24"/>
          <w:szCs w:val="24"/>
        </w:rPr>
        <w:t xml:space="preserve">A process of internal moderation and standardisation led by nominated staff </w:t>
      </w:r>
    </w:p>
    <w:p w:rsidR="006D69D4" w:rsidRPr="006D69D4" w:rsidRDefault="006D69D4" w:rsidP="006D69D4">
      <w:pPr>
        <w:pStyle w:val="DocumentTitle"/>
        <w:jc w:val="left"/>
        <w:rPr>
          <w:rFonts w:ascii="Swis721 Lt BT" w:hAnsi="Swis721 Lt BT"/>
          <w:sz w:val="24"/>
          <w:szCs w:val="24"/>
        </w:rPr>
      </w:pPr>
    </w:p>
    <w:p w:rsidR="006D69D4" w:rsidRDefault="006D69D4" w:rsidP="006D69D4">
      <w:pPr>
        <w:pStyle w:val="DocumentTitle"/>
        <w:jc w:val="left"/>
        <w:rPr>
          <w:rFonts w:ascii="Swis721 Lt BT" w:hAnsi="Swis721 Lt BT"/>
          <w:sz w:val="24"/>
          <w:szCs w:val="24"/>
        </w:rPr>
      </w:pPr>
      <w:r w:rsidRPr="006D69D4">
        <w:rPr>
          <w:rFonts w:ascii="Swis721 Lt BT" w:hAnsi="Swis721 Lt BT"/>
          <w:sz w:val="24"/>
          <w:szCs w:val="24"/>
        </w:rPr>
        <w:t>An appeal against internal assessment decisions can be made, based on the above not being fulfilled.</w:t>
      </w:r>
    </w:p>
    <w:p w:rsidR="006D69D4" w:rsidRPr="006D69D4" w:rsidRDefault="006D69D4" w:rsidP="006D69D4">
      <w:pPr>
        <w:pStyle w:val="DocumentTitle"/>
        <w:jc w:val="left"/>
        <w:rPr>
          <w:rFonts w:ascii="Swis721 Lt BT" w:hAnsi="Swis721 Lt BT"/>
          <w:sz w:val="24"/>
          <w:szCs w:val="24"/>
        </w:rPr>
      </w:pPr>
      <w:r>
        <w:rPr>
          <w:rFonts w:ascii="Swis721 Lt BT" w:hAnsi="Swis721 Lt BT"/>
          <w:sz w:val="24"/>
          <w:szCs w:val="24"/>
        </w:rPr>
        <w:t xml:space="preserve">All appeals must follow </w:t>
      </w:r>
      <w:r w:rsidR="00633812">
        <w:rPr>
          <w:rFonts w:ascii="Swis721 Lt BT" w:hAnsi="Swis721 Lt BT"/>
          <w:sz w:val="24"/>
          <w:szCs w:val="24"/>
        </w:rPr>
        <w:t>the process below.</w:t>
      </w:r>
    </w:p>
    <w:p w:rsidR="006D69D4" w:rsidRPr="006D69D4" w:rsidRDefault="006D69D4" w:rsidP="006D69D4">
      <w:pPr>
        <w:pStyle w:val="DocumentTitle"/>
        <w:jc w:val="left"/>
        <w:rPr>
          <w:rFonts w:ascii="Swis721 Lt BT" w:hAnsi="Swis721 Lt BT"/>
          <w:sz w:val="24"/>
          <w:szCs w:val="24"/>
        </w:rPr>
      </w:pPr>
      <w:r w:rsidRPr="006D69D4">
        <w:rPr>
          <w:rFonts w:ascii="Swis721 Lt BT" w:hAnsi="Swis721 Lt BT"/>
          <w:sz w:val="24"/>
          <w:szCs w:val="24"/>
        </w:rPr>
        <w:t xml:space="preserve">1. Appeals should be made as early as possible and </w:t>
      </w:r>
      <w:r w:rsidR="00F94EF2">
        <w:rPr>
          <w:rFonts w:ascii="Swis721 Lt BT" w:hAnsi="Swis721 Lt BT"/>
          <w:bCs/>
          <w:sz w:val="24"/>
          <w:szCs w:val="24"/>
        </w:rPr>
        <w:t>at least three</w:t>
      </w:r>
      <w:r w:rsidRPr="006D69D4">
        <w:rPr>
          <w:rFonts w:ascii="Swis721 Lt BT" w:hAnsi="Swis721 Lt BT"/>
          <w:bCs/>
          <w:sz w:val="24"/>
          <w:szCs w:val="24"/>
        </w:rPr>
        <w:t xml:space="preserve"> weeks before </w:t>
      </w:r>
      <w:r w:rsidR="00633812">
        <w:rPr>
          <w:rFonts w:ascii="Swis721 Lt BT" w:hAnsi="Swis721 Lt BT"/>
          <w:bCs/>
          <w:sz w:val="24"/>
          <w:szCs w:val="24"/>
        </w:rPr>
        <w:t>the submission of marks to the awarding body.</w:t>
      </w:r>
    </w:p>
    <w:p w:rsidR="006D69D4" w:rsidRPr="006D69D4" w:rsidRDefault="006D69D4" w:rsidP="006D69D4">
      <w:pPr>
        <w:pStyle w:val="DocumentTitle"/>
        <w:jc w:val="left"/>
        <w:rPr>
          <w:rFonts w:ascii="Swis721 Lt BT" w:hAnsi="Swis721 Lt BT"/>
          <w:sz w:val="24"/>
          <w:szCs w:val="24"/>
        </w:rPr>
      </w:pPr>
      <w:r w:rsidRPr="006D69D4">
        <w:rPr>
          <w:rFonts w:ascii="Swis721 Lt BT" w:hAnsi="Swis721 Lt BT"/>
          <w:sz w:val="24"/>
          <w:szCs w:val="24"/>
        </w:rPr>
        <w:t xml:space="preserve">2. Appeals should be made using the </w:t>
      </w:r>
      <w:r w:rsidRPr="006D69D4">
        <w:rPr>
          <w:rFonts w:ascii="Swis721 Lt BT" w:hAnsi="Swis721 Lt BT"/>
          <w:bCs/>
          <w:sz w:val="24"/>
          <w:szCs w:val="24"/>
        </w:rPr>
        <w:t xml:space="preserve">internal appeals form </w:t>
      </w:r>
      <w:r w:rsidRPr="006D69D4">
        <w:rPr>
          <w:rFonts w:ascii="Swis721 Lt BT" w:hAnsi="Swis721 Lt BT"/>
          <w:sz w:val="24"/>
          <w:szCs w:val="24"/>
        </w:rPr>
        <w:t xml:space="preserve">completed by </w:t>
      </w:r>
      <w:r w:rsidR="00F94EF2">
        <w:rPr>
          <w:rFonts w:ascii="Swis721 Lt BT" w:hAnsi="Swis721 Lt BT"/>
          <w:sz w:val="24"/>
          <w:szCs w:val="24"/>
        </w:rPr>
        <w:t>the candidate.</w:t>
      </w:r>
    </w:p>
    <w:p w:rsidR="006D69D4" w:rsidRPr="006D69D4" w:rsidRDefault="006D69D4" w:rsidP="006D69D4">
      <w:pPr>
        <w:pStyle w:val="DocumentTitle"/>
        <w:jc w:val="left"/>
        <w:rPr>
          <w:rFonts w:ascii="Swis721 Lt BT" w:hAnsi="Swis721 Lt BT"/>
          <w:sz w:val="24"/>
          <w:szCs w:val="24"/>
        </w:rPr>
      </w:pPr>
      <w:r w:rsidRPr="006D69D4">
        <w:rPr>
          <w:rFonts w:ascii="Swis721 Lt BT" w:hAnsi="Swis721 Lt BT"/>
          <w:sz w:val="24"/>
          <w:szCs w:val="24"/>
        </w:rPr>
        <w:t xml:space="preserve">3. The head of centre will appoint a member of the senior leadership team, who has no involvement in the assessment process for that subject to conduct the investigation </w:t>
      </w:r>
    </w:p>
    <w:p w:rsidR="006D69D4" w:rsidRPr="006D69D4" w:rsidRDefault="006D69D4" w:rsidP="006D69D4">
      <w:pPr>
        <w:pStyle w:val="DocumentTitle"/>
        <w:jc w:val="left"/>
        <w:rPr>
          <w:rFonts w:ascii="Swis721 Lt BT" w:hAnsi="Swis721 Lt BT"/>
          <w:sz w:val="24"/>
          <w:szCs w:val="24"/>
        </w:rPr>
      </w:pPr>
      <w:r w:rsidRPr="006D69D4">
        <w:rPr>
          <w:rFonts w:ascii="Swis721 Lt BT" w:hAnsi="Swis721 Lt BT"/>
          <w:sz w:val="24"/>
          <w:szCs w:val="24"/>
        </w:rPr>
        <w:t xml:space="preserve">4. The purpose of the appeal will be to decide whether the process used for the internal assessment conformed to the published requirements as detailed in the awarding body specification(s) and/or subject-specific associated documents </w:t>
      </w:r>
    </w:p>
    <w:p w:rsidR="006D69D4" w:rsidRPr="006D69D4" w:rsidRDefault="006D69D4" w:rsidP="006D69D4">
      <w:pPr>
        <w:pStyle w:val="DocumentTitle"/>
        <w:jc w:val="left"/>
        <w:rPr>
          <w:rFonts w:ascii="Swis721 Lt BT" w:hAnsi="Swis721 Lt BT"/>
          <w:sz w:val="24"/>
          <w:szCs w:val="24"/>
        </w:rPr>
      </w:pPr>
      <w:r w:rsidRPr="006D69D4">
        <w:rPr>
          <w:rFonts w:ascii="Swis721 Lt BT" w:hAnsi="Swis721 Lt BT"/>
          <w:sz w:val="24"/>
          <w:szCs w:val="24"/>
        </w:rPr>
        <w:t xml:space="preserve">5. The appellant will be informed in writing of the outcome of the appeal, including any relevant correspondence with the awarding body and any changes made to internal assessment procedures </w:t>
      </w:r>
    </w:p>
    <w:p w:rsidR="006D69D4" w:rsidRPr="006D69D4" w:rsidRDefault="006D69D4" w:rsidP="006D69D4">
      <w:pPr>
        <w:pStyle w:val="DocumentTitle"/>
        <w:jc w:val="left"/>
        <w:rPr>
          <w:rFonts w:ascii="Swis721 Lt BT" w:hAnsi="Swis721 Lt BT"/>
          <w:sz w:val="24"/>
          <w:szCs w:val="24"/>
        </w:rPr>
      </w:pPr>
      <w:r w:rsidRPr="006D69D4">
        <w:rPr>
          <w:rFonts w:ascii="Swis721 Lt BT" w:hAnsi="Swis721 Lt BT"/>
          <w:sz w:val="24"/>
          <w:szCs w:val="24"/>
        </w:rPr>
        <w:t xml:space="preserve">6. The outcome of the appeal will be made known to the head of centre and will be logged as a complaint. A written record will be kept and made available to the awarding body upon request. Should the appeal bring any significant irregularity in procedures to light, the awarding body will be informed </w:t>
      </w:r>
    </w:p>
    <w:p w:rsidR="006D69D4" w:rsidRPr="006D69D4" w:rsidRDefault="006D69D4" w:rsidP="006D69D4">
      <w:pPr>
        <w:pStyle w:val="DocumentTitle"/>
        <w:jc w:val="left"/>
        <w:rPr>
          <w:rFonts w:ascii="Swis721 Lt BT" w:hAnsi="Swis721 Lt BT"/>
          <w:sz w:val="24"/>
          <w:szCs w:val="24"/>
        </w:rPr>
      </w:pPr>
    </w:p>
    <w:p w:rsidR="006D69D4" w:rsidRPr="006D69D4" w:rsidRDefault="006D69D4" w:rsidP="006D69D4">
      <w:pPr>
        <w:pStyle w:val="DocumentTitle"/>
        <w:jc w:val="left"/>
        <w:rPr>
          <w:rFonts w:ascii="Swis721 Lt BT" w:hAnsi="Swis721 Lt BT"/>
          <w:sz w:val="24"/>
          <w:szCs w:val="24"/>
        </w:rPr>
      </w:pPr>
      <w:r w:rsidRPr="006D69D4">
        <w:rPr>
          <w:rFonts w:ascii="Swis721 Lt BT" w:hAnsi="Swis721 Lt BT"/>
          <w:sz w:val="24"/>
          <w:szCs w:val="24"/>
        </w:rPr>
        <w:t xml:space="preserve">After candidates’ work has been internally assessed, it is moderated by the awarding body to ensure consistency in marking between centres. The moderation may lead to mark changes. This process is outside the control of The </w:t>
      </w:r>
      <w:r w:rsidR="00327083">
        <w:rPr>
          <w:rFonts w:ascii="Swis721 Lt BT" w:hAnsi="Swis721 Lt BT"/>
          <w:sz w:val="24"/>
          <w:szCs w:val="24"/>
        </w:rPr>
        <w:t xml:space="preserve">Trust </w:t>
      </w:r>
      <w:r w:rsidRPr="006D69D4">
        <w:rPr>
          <w:rFonts w:ascii="Swis721 Lt BT" w:hAnsi="Swis721 Lt BT"/>
          <w:sz w:val="24"/>
          <w:szCs w:val="24"/>
        </w:rPr>
        <w:t>and is not covered by this procedure.</w:t>
      </w:r>
    </w:p>
    <w:p w:rsidR="006D69D4" w:rsidRDefault="006D69D4" w:rsidP="006D69D4">
      <w:pPr>
        <w:pStyle w:val="DocumentTitle"/>
        <w:jc w:val="left"/>
        <w:rPr>
          <w:sz w:val="22"/>
          <w:szCs w:val="22"/>
        </w:rPr>
      </w:pPr>
    </w:p>
    <w:p w:rsidR="00633812" w:rsidRDefault="00633812" w:rsidP="00633812">
      <w:pPr>
        <w:pStyle w:val="DocumentTitle"/>
      </w:pPr>
      <w:r>
        <w:t xml:space="preserve">Internal appeals form </w:t>
      </w:r>
    </w:p>
    <w:p w:rsidR="00633812" w:rsidRPr="00633812" w:rsidRDefault="00633812" w:rsidP="00633812">
      <w:pPr>
        <w:pStyle w:val="Body"/>
      </w:pPr>
    </w:p>
    <w:tbl>
      <w:tblPr>
        <w:tblW w:w="9889" w:type="dxa"/>
        <w:tblInd w:w="-108" w:type="dxa"/>
        <w:tblBorders>
          <w:top w:val="nil"/>
          <w:left w:val="nil"/>
          <w:bottom w:val="nil"/>
          <w:right w:val="nil"/>
        </w:tblBorders>
        <w:tblLayout w:type="fixed"/>
        <w:tblLook w:val="0000" w:firstRow="0" w:lastRow="0" w:firstColumn="0" w:lastColumn="0" w:noHBand="0" w:noVBand="0"/>
      </w:tblPr>
      <w:tblGrid>
        <w:gridCol w:w="4992"/>
        <w:gridCol w:w="4897"/>
      </w:tblGrid>
      <w:tr w:rsidR="00FA2EDE" w:rsidRPr="00633812" w:rsidTr="00396C0B">
        <w:trPr>
          <w:trHeight w:val="191"/>
        </w:trPr>
        <w:tc>
          <w:tcPr>
            <w:tcW w:w="9889" w:type="dxa"/>
            <w:gridSpan w:val="2"/>
          </w:tcPr>
          <w:p w:rsidR="00FA2EDE" w:rsidRPr="00633812" w:rsidRDefault="00FA2EDE" w:rsidP="00633812">
            <w:pPr>
              <w:pStyle w:val="Body"/>
            </w:pPr>
            <w:r w:rsidRPr="00633812">
              <w:t xml:space="preserve">Candidate name </w:t>
            </w:r>
          </w:p>
          <w:p w:rsidR="00FA2EDE" w:rsidRPr="00633812" w:rsidRDefault="00FA2EDE" w:rsidP="00633812">
            <w:pPr>
              <w:pStyle w:val="Body"/>
            </w:pPr>
          </w:p>
        </w:tc>
      </w:tr>
      <w:tr w:rsidR="00633812" w:rsidRPr="00633812" w:rsidTr="00633812">
        <w:trPr>
          <w:trHeight w:val="175"/>
        </w:trPr>
        <w:tc>
          <w:tcPr>
            <w:tcW w:w="4992" w:type="dxa"/>
          </w:tcPr>
          <w:p w:rsidR="00633812" w:rsidRPr="00633812" w:rsidRDefault="00633812" w:rsidP="00633812">
            <w:pPr>
              <w:pStyle w:val="Body"/>
            </w:pPr>
            <w:r w:rsidRPr="00633812">
              <w:t xml:space="preserve">Awarding body </w:t>
            </w:r>
          </w:p>
        </w:tc>
        <w:tc>
          <w:tcPr>
            <w:tcW w:w="4897" w:type="dxa"/>
          </w:tcPr>
          <w:p w:rsidR="00633812" w:rsidRPr="00633812" w:rsidRDefault="00633812" w:rsidP="00633812">
            <w:pPr>
              <w:pStyle w:val="Body"/>
            </w:pPr>
            <w:r w:rsidRPr="00633812">
              <w:t xml:space="preserve">Unit/module/exam paper code </w:t>
            </w:r>
          </w:p>
        </w:tc>
      </w:tr>
      <w:tr w:rsidR="00633812" w:rsidRPr="00633812" w:rsidTr="00633812">
        <w:trPr>
          <w:trHeight w:val="175"/>
        </w:trPr>
        <w:tc>
          <w:tcPr>
            <w:tcW w:w="4992" w:type="dxa"/>
          </w:tcPr>
          <w:p w:rsidR="00633812" w:rsidRPr="00633812" w:rsidRDefault="00633812" w:rsidP="00633812">
            <w:pPr>
              <w:pStyle w:val="Body"/>
            </w:pPr>
            <w:r w:rsidRPr="00633812">
              <w:t xml:space="preserve">Subject </w:t>
            </w:r>
          </w:p>
        </w:tc>
        <w:tc>
          <w:tcPr>
            <w:tcW w:w="4897" w:type="dxa"/>
          </w:tcPr>
          <w:p w:rsidR="00633812" w:rsidRPr="00633812" w:rsidRDefault="00633812" w:rsidP="00633812">
            <w:pPr>
              <w:pStyle w:val="Body"/>
            </w:pPr>
            <w:r w:rsidRPr="00633812">
              <w:t xml:space="preserve">Unit/module/exam paper title </w:t>
            </w:r>
          </w:p>
        </w:tc>
      </w:tr>
      <w:tr w:rsidR="00633812" w:rsidRPr="00633812" w:rsidTr="00633812">
        <w:trPr>
          <w:trHeight w:val="1937"/>
        </w:trPr>
        <w:tc>
          <w:tcPr>
            <w:tcW w:w="9889" w:type="dxa"/>
            <w:gridSpan w:val="2"/>
          </w:tcPr>
          <w:p w:rsidR="00633812" w:rsidRPr="00633812" w:rsidRDefault="00633812" w:rsidP="00633812">
            <w:pPr>
              <w:pStyle w:val="Body"/>
            </w:pPr>
            <w:r w:rsidRPr="00633812">
              <w:t xml:space="preserve">Please state the grounds for your appeal below: </w:t>
            </w:r>
          </w:p>
          <w:p w:rsidR="00633812" w:rsidRDefault="00633812" w:rsidP="00633812">
            <w:pPr>
              <w:pStyle w:val="Body"/>
            </w:pPr>
            <w:r w:rsidRPr="00633812">
              <w:t xml:space="preserve">Continue overleaf if necessary </w:t>
            </w:r>
          </w:p>
          <w:p w:rsidR="00633812" w:rsidRDefault="00633812" w:rsidP="00633812">
            <w:pPr>
              <w:pStyle w:val="Body"/>
            </w:pPr>
          </w:p>
          <w:p w:rsidR="00633812" w:rsidRDefault="00633812" w:rsidP="00633812">
            <w:pPr>
              <w:pStyle w:val="Body"/>
            </w:pPr>
          </w:p>
          <w:p w:rsidR="00633812" w:rsidRDefault="00633812" w:rsidP="00633812">
            <w:pPr>
              <w:pStyle w:val="Body"/>
            </w:pPr>
          </w:p>
          <w:p w:rsidR="00633812" w:rsidRDefault="00633812" w:rsidP="00633812">
            <w:pPr>
              <w:pStyle w:val="Body"/>
            </w:pPr>
          </w:p>
          <w:p w:rsidR="00633812" w:rsidRDefault="00633812" w:rsidP="00633812">
            <w:pPr>
              <w:pStyle w:val="Body"/>
            </w:pPr>
          </w:p>
          <w:p w:rsidR="00633812" w:rsidRDefault="00633812" w:rsidP="00633812">
            <w:pPr>
              <w:pStyle w:val="Body"/>
            </w:pPr>
          </w:p>
          <w:p w:rsidR="00633812" w:rsidRDefault="00633812" w:rsidP="00633812">
            <w:pPr>
              <w:pStyle w:val="Body"/>
            </w:pPr>
          </w:p>
          <w:p w:rsidR="00633812" w:rsidRDefault="00633812" w:rsidP="00633812">
            <w:pPr>
              <w:pStyle w:val="Body"/>
            </w:pPr>
          </w:p>
          <w:p w:rsidR="00633812" w:rsidRDefault="00633812" w:rsidP="00633812">
            <w:pPr>
              <w:pStyle w:val="Body"/>
            </w:pPr>
          </w:p>
          <w:p w:rsidR="00633812" w:rsidRDefault="00633812" w:rsidP="00633812">
            <w:pPr>
              <w:pStyle w:val="Body"/>
            </w:pPr>
          </w:p>
          <w:p w:rsidR="00633812" w:rsidRPr="00633812" w:rsidRDefault="00633812" w:rsidP="00633812">
            <w:pPr>
              <w:pStyle w:val="Body"/>
            </w:pPr>
          </w:p>
        </w:tc>
      </w:tr>
      <w:tr w:rsidR="00633812" w:rsidRPr="00633812" w:rsidTr="00633812">
        <w:trPr>
          <w:trHeight w:val="688"/>
        </w:trPr>
        <w:tc>
          <w:tcPr>
            <w:tcW w:w="9889" w:type="dxa"/>
            <w:gridSpan w:val="2"/>
          </w:tcPr>
          <w:p w:rsidR="00633812" w:rsidRPr="00633812" w:rsidRDefault="00633812" w:rsidP="00633812">
            <w:pPr>
              <w:pStyle w:val="DocumentTitle"/>
            </w:pPr>
            <w:r w:rsidRPr="00633812">
              <w:t xml:space="preserve">Appeal against an internal assessment decision </w:t>
            </w:r>
          </w:p>
          <w:p w:rsidR="00633812" w:rsidRPr="00633812" w:rsidRDefault="00633812" w:rsidP="00633812">
            <w:pPr>
              <w:pStyle w:val="Body"/>
            </w:pPr>
            <w:r w:rsidRPr="00633812">
              <w:t xml:space="preserve">Appellant declaration </w:t>
            </w:r>
          </w:p>
          <w:p w:rsidR="00633812" w:rsidRPr="00633812" w:rsidRDefault="00633812" w:rsidP="00633812">
            <w:pPr>
              <w:pStyle w:val="Body"/>
            </w:pPr>
            <w:r w:rsidRPr="00633812">
              <w:t xml:space="preserve">By signing here, I am confirming I understand the purpose of the appeal will be to decide whether the process used for the internal assessment conformed to the published requirements of the awarding body’s specification and subject-specific associated documents. I also understand the appeal may only be made against the marking/assessment process not against the mark submitted by the centre for moderation by the awarding body. </w:t>
            </w:r>
          </w:p>
          <w:p w:rsidR="004839CE" w:rsidRDefault="00633812" w:rsidP="00633812">
            <w:pPr>
              <w:pStyle w:val="Body"/>
            </w:pPr>
            <w:r w:rsidRPr="00633812">
              <w:t xml:space="preserve">Signature: </w:t>
            </w:r>
          </w:p>
          <w:p w:rsidR="00633812" w:rsidRPr="00633812" w:rsidRDefault="00633812" w:rsidP="0085655D">
            <w:pPr>
              <w:pStyle w:val="Body"/>
            </w:pPr>
            <w:r w:rsidRPr="00633812">
              <w:t xml:space="preserve">Date of signature: </w:t>
            </w:r>
          </w:p>
        </w:tc>
      </w:tr>
      <w:tr w:rsidR="00633812" w:rsidRPr="00633812" w:rsidTr="00633812">
        <w:trPr>
          <w:trHeight w:val="466"/>
        </w:trPr>
        <w:tc>
          <w:tcPr>
            <w:tcW w:w="9889" w:type="dxa"/>
            <w:gridSpan w:val="2"/>
          </w:tcPr>
          <w:p w:rsidR="00633812" w:rsidRPr="00633812" w:rsidRDefault="00633812" w:rsidP="00633812">
            <w:pPr>
              <w:pStyle w:val="Body"/>
            </w:pPr>
          </w:p>
        </w:tc>
      </w:tr>
      <w:tr w:rsidR="00633812" w:rsidRPr="00633812" w:rsidTr="00633812">
        <w:trPr>
          <w:trHeight w:val="745"/>
        </w:trPr>
        <w:tc>
          <w:tcPr>
            <w:tcW w:w="9889" w:type="dxa"/>
            <w:gridSpan w:val="2"/>
          </w:tcPr>
          <w:p w:rsidR="00633812" w:rsidRPr="00633812" w:rsidRDefault="00633812" w:rsidP="00633812">
            <w:pPr>
              <w:pStyle w:val="Body"/>
            </w:pPr>
          </w:p>
        </w:tc>
      </w:tr>
    </w:tbl>
    <w:p w:rsidR="006D69D4" w:rsidRPr="00633812" w:rsidRDefault="006D69D4" w:rsidP="00633812">
      <w:pPr>
        <w:pStyle w:val="Body"/>
      </w:pPr>
    </w:p>
    <w:sectPr w:rsidR="006D69D4" w:rsidRPr="006338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lippo Light SF">
    <w:panose1 w:val="00000000000000000000"/>
    <w:charset w:val="00"/>
    <w:family w:val="auto"/>
    <w:pitch w:val="variable"/>
    <w:sig w:usb0="00000003" w:usb1="10000000" w:usb2="00000000" w:usb3="00000000" w:csb0="80000001" w:csb1="00000000"/>
  </w:font>
  <w:font w:name="Swis721 Lt BT">
    <w:altName w:val="Times New Roman"/>
    <w:panose1 w:val="020B0403020202020204"/>
    <w:charset w:val="00"/>
    <w:family w:val="swiss"/>
    <w:pitch w:val="variable"/>
    <w:sig w:usb0="00000087" w:usb1="10000000" w:usb2="00000000" w:usb3="00000000" w:csb0="8000001B"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55FAF"/>
    <w:multiLevelType w:val="hybridMultilevel"/>
    <w:tmpl w:val="316EA33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26653B74"/>
    <w:multiLevelType w:val="hybridMultilevel"/>
    <w:tmpl w:val="7B70FF5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53162FAD"/>
    <w:multiLevelType w:val="hybridMultilevel"/>
    <w:tmpl w:val="18667A3C"/>
    <w:lvl w:ilvl="0" w:tplc="CE843A5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EF2"/>
    <w:rsid w:val="000D12B1"/>
    <w:rsid w:val="001E5149"/>
    <w:rsid w:val="00231C65"/>
    <w:rsid w:val="00327083"/>
    <w:rsid w:val="004839CE"/>
    <w:rsid w:val="004A01E7"/>
    <w:rsid w:val="00633812"/>
    <w:rsid w:val="006D69D4"/>
    <w:rsid w:val="0085655D"/>
    <w:rsid w:val="00C402EA"/>
    <w:rsid w:val="00F94EF2"/>
    <w:rsid w:val="00FA2E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CF49A4-09B2-46B7-A7D7-0BAC8B5D4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link w:val="DocumentTitleChar"/>
    <w:qFormat/>
    <w:rsid w:val="004A01E7"/>
    <w:pPr>
      <w:jc w:val="center"/>
    </w:pPr>
    <w:rPr>
      <w:rFonts w:ascii="Blippo Light SF" w:hAnsi="Blippo Light SF"/>
      <w:b/>
      <w:sz w:val="32"/>
      <w:szCs w:val="32"/>
    </w:rPr>
  </w:style>
  <w:style w:type="paragraph" w:customStyle="1" w:styleId="SectionTitle">
    <w:name w:val="Section Title"/>
    <w:basedOn w:val="Normal"/>
    <w:link w:val="SectionTitleChar"/>
    <w:qFormat/>
    <w:rsid w:val="004A01E7"/>
    <w:rPr>
      <w:rFonts w:ascii="Blippo Light SF" w:hAnsi="Blippo Light SF"/>
      <w:b/>
      <w:sz w:val="28"/>
      <w:szCs w:val="28"/>
    </w:rPr>
  </w:style>
  <w:style w:type="character" w:customStyle="1" w:styleId="DocumentTitleChar">
    <w:name w:val="Document Title Char"/>
    <w:basedOn w:val="DefaultParagraphFont"/>
    <w:link w:val="DocumentTitle"/>
    <w:rsid w:val="004A01E7"/>
    <w:rPr>
      <w:rFonts w:ascii="Blippo Light SF" w:hAnsi="Blippo Light SF"/>
      <w:b/>
      <w:sz w:val="32"/>
      <w:szCs w:val="32"/>
    </w:rPr>
  </w:style>
  <w:style w:type="paragraph" w:customStyle="1" w:styleId="SectionSubtitle">
    <w:name w:val="Section Subtitle"/>
    <w:basedOn w:val="Normal"/>
    <w:link w:val="SectionSubtitleChar"/>
    <w:qFormat/>
    <w:rsid w:val="004A01E7"/>
    <w:rPr>
      <w:rFonts w:ascii="Blippo Light SF" w:hAnsi="Blippo Light SF"/>
      <w:b/>
      <w:sz w:val="24"/>
      <w:szCs w:val="24"/>
    </w:rPr>
  </w:style>
  <w:style w:type="character" w:customStyle="1" w:styleId="SectionTitleChar">
    <w:name w:val="Section Title Char"/>
    <w:basedOn w:val="DefaultParagraphFont"/>
    <w:link w:val="SectionTitle"/>
    <w:rsid w:val="004A01E7"/>
    <w:rPr>
      <w:rFonts w:ascii="Blippo Light SF" w:hAnsi="Blippo Light SF"/>
      <w:b/>
      <w:sz w:val="28"/>
      <w:szCs w:val="28"/>
    </w:rPr>
  </w:style>
  <w:style w:type="paragraph" w:customStyle="1" w:styleId="Body">
    <w:name w:val="Body"/>
    <w:basedOn w:val="Normal"/>
    <w:link w:val="BodyChar"/>
    <w:qFormat/>
    <w:rsid w:val="004A01E7"/>
    <w:pPr>
      <w:jc w:val="both"/>
    </w:pPr>
    <w:rPr>
      <w:rFonts w:ascii="Swis721 Lt BT" w:hAnsi="Swis721 Lt BT"/>
    </w:rPr>
  </w:style>
  <w:style w:type="character" w:customStyle="1" w:styleId="SectionSubtitleChar">
    <w:name w:val="Section Subtitle Char"/>
    <w:basedOn w:val="DefaultParagraphFont"/>
    <w:link w:val="SectionSubtitle"/>
    <w:rsid w:val="004A01E7"/>
    <w:rPr>
      <w:rFonts w:ascii="Blippo Light SF" w:hAnsi="Blippo Light SF"/>
      <w:b/>
      <w:sz w:val="24"/>
      <w:szCs w:val="24"/>
    </w:rPr>
  </w:style>
  <w:style w:type="character" w:customStyle="1" w:styleId="BodyChar">
    <w:name w:val="Body Char"/>
    <w:basedOn w:val="DefaultParagraphFont"/>
    <w:link w:val="Body"/>
    <w:rsid w:val="004A01E7"/>
    <w:rPr>
      <w:rFonts w:ascii="Swis721 Lt BT" w:hAnsi="Swis721 Lt BT"/>
    </w:rPr>
  </w:style>
  <w:style w:type="paragraph" w:customStyle="1" w:styleId="Default">
    <w:name w:val="Default"/>
    <w:rsid w:val="006D69D4"/>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4839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9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Josie Millington</dc:creator>
  <cp:keywords/>
  <dc:description/>
  <cp:lastModifiedBy>Alan Futers</cp:lastModifiedBy>
  <cp:revision>2</cp:revision>
  <cp:lastPrinted>2017-10-09T12:03:00Z</cp:lastPrinted>
  <dcterms:created xsi:type="dcterms:W3CDTF">2018-07-31T14:15:00Z</dcterms:created>
  <dcterms:modified xsi:type="dcterms:W3CDTF">2018-07-31T14:15:00Z</dcterms:modified>
</cp:coreProperties>
</file>