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1483" w:type="dxa"/>
        <w:tblInd w:w="-1134" w:type="dxa"/>
        <w:tblLayout w:type="fixed"/>
        <w:tblLook w:val="04A0" w:firstRow="1" w:lastRow="0" w:firstColumn="1" w:lastColumn="0" w:noHBand="0" w:noVBand="1"/>
      </w:tblPr>
      <w:tblGrid>
        <w:gridCol w:w="426"/>
        <w:gridCol w:w="2976"/>
        <w:gridCol w:w="8081"/>
      </w:tblGrid>
      <w:tr w:rsidR="00BE5338" w:rsidRPr="00A10991" w14:paraId="15629E6F" w14:textId="77777777" w:rsidTr="00720E1E">
        <w:tc>
          <w:tcPr>
            <w:tcW w:w="11483" w:type="dxa"/>
            <w:gridSpan w:val="3"/>
            <w:tcBorders>
              <w:top w:val="nil"/>
              <w:left w:val="nil"/>
              <w:right w:val="nil"/>
            </w:tcBorders>
            <w:shd w:val="clear" w:color="auto" w:fill="17365D" w:themeFill="text2" w:themeFillShade="BF"/>
          </w:tcPr>
          <w:p w14:paraId="6FC28B30" w14:textId="2302154D" w:rsidR="00BE5338" w:rsidRPr="00BE5338" w:rsidRDefault="00BE5338" w:rsidP="00BE5338">
            <w:pPr>
              <w:jc w:val="center"/>
              <w:rPr>
                <w:rFonts w:ascii="Arial" w:hAnsi="Arial" w:cs="Arial"/>
                <w:b/>
                <w:color w:val="FFFFFF" w:themeColor="background1"/>
                <w:sz w:val="32"/>
                <w:szCs w:val="32"/>
                <w:lang w:val="de-DE"/>
              </w:rPr>
            </w:pPr>
            <w:r w:rsidRPr="00BE5338">
              <w:rPr>
                <w:rFonts w:ascii="Arial" w:hAnsi="Arial" w:cs="Arial"/>
                <w:b/>
                <w:color w:val="FFFFFF" w:themeColor="background1"/>
                <w:sz w:val="32"/>
                <w:szCs w:val="32"/>
                <w:lang w:val="de-DE"/>
              </w:rPr>
              <w:t>Basisinformationsblatt</w:t>
            </w:r>
          </w:p>
        </w:tc>
      </w:tr>
      <w:tr w:rsidR="00A10991" w:rsidRPr="0021295F" w14:paraId="378BC072" w14:textId="77777777" w:rsidTr="00720E1E">
        <w:tc>
          <w:tcPr>
            <w:tcW w:w="11483" w:type="dxa"/>
            <w:gridSpan w:val="3"/>
            <w:tcBorders>
              <w:left w:val="nil"/>
              <w:right w:val="nil"/>
            </w:tcBorders>
            <w:shd w:val="clear" w:color="auto" w:fill="C6D9F1" w:themeFill="text2" w:themeFillTint="33"/>
          </w:tcPr>
          <w:p w14:paraId="1E8E414A" w14:textId="77777777" w:rsidR="00BE5338" w:rsidRPr="003F1291" w:rsidRDefault="00A10991" w:rsidP="005B531E">
            <w:pPr>
              <w:jc w:val="both"/>
              <w:rPr>
                <w:rFonts w:ascii="Arial" w:hAnsi="Arial" w:cs="Arial"/>
                <w:b/>
                <w:color w:val="548DD4" w:themeColor="text2" w:themeTint="99"/>
                <w:sz w:val="18"/>
                <w:szCs w:val="18"/>
                <w:lang w:val="de-DE"/>
              </w:rPr>
            </w:pPr>
            <w:r w:rsidRPr="003F1291">
              <w:rPr>
                <w:rFonts w:ascii="Arial" w:hAnsi="Arial" w:cs="Arial"/>
                <w:b/>
                <w:color w:val="548DD4" w:themeColor="text2" w:themeTint="99"/>
                <w:sz w:val="18"/>
                <w:szCs w:val="18"/>
                <w:lang w:val="de-DE"/>
              </w:rPr>
              <w:t>Zweck</w:t>
            </w:r>
          </w:p>
          <w:p w14:paraId="511F444B" w14:textId="1220D184" w:rsidR="00A10991" w:rsidRPr="00466032" w:rsidRDefault="00BE5338" w:rsidP="005B531E">
            <w:pPr>
              <w:jc w:val="both"/>
              <w:rPr>
                <w:rFonts w:ascii="Arial" w:hAnsi="Arial" w:cs="Arial"/>
                <w:sz w:val="16"/>
                <w:szCs w:val="16"/>
                <w:lang w:val="de-DE"/>
              </w:rPr>
            </w:pPr>
            <w:r w:rsidRPr="00466032">
              <w:rPr>
                <w:rFonts w:ascii="Arial" w:hAnsi="Arial" w:cs="Arial"/>
                <w:sz w:val="16"/>
                <w:szCs w:val="16"/>
                <w:lang w:val="de-DE"/>
              </w:rPr>
              <w:t>Dieses Informationsblatt stellt Ihnen wesentliche Informationen über dieses Anlageprodukt zur Verfügung. Es handelt sich nicht um Werbematerial. Diese Informationen sind gesetzlich vorgeschrieben, um Ihnen dabei zu helfen, die Art, das Risiko, die Kosten sowie die möglichen Gewinne und Verluste dieses Produkts zu verstehen, und Ihnen dabei zu helfen, es mit anderen Produkten zu vergleichen.</w:t>
            </w:r>
          </w:p>
        </w:tc>
      </w:tr>
      <w:tr w:rsidR="00A10991" w:rsidRPr="007321F9" w14:paraId="08B37F6A" w14:textId="77777777" w:rsidTr="00720E1E">
        <w:tc>
          <w:tcPr>
            <w:tcW w:w="11483" w:type="dxa"/>
            <w:gridSpan w:val="3"/>
            <w:tcBorders>
              <w:left w:val="nil"/>
              <w:right w:val="nil"/>
            </w:tcBorders>
            <w:shd w:val="clear" w:color="auto" w:fill="FFFFFF" w:themeFill="background1"/>
          </w:tcPr>
          <w:p w14:paraId="0F846AC9" w14:textId="77777777" w:rsidR="00A10991" w:rsidRPr="00C86BCC" w:rsidRDefault="00A10991" w:rsidP="005B531E">
            <w:pPr>
              <w:jc w:val="both"/>
              <w:rPr>
                <w:rFonts w:ascii="Arial" w:hAnsi="Arial" w:cs="Arial"/>
                <w:b/>
                <w:color w:val="548DD4" w:themeColor="text2" w:themeTint="99"/>
                <w:sz w:val="18"/>
                <w:szCs w:val="18"/>
                <w:lang w:val="de-DE"/>
              </w:rPr>
            </w:pPr>
            <w:r w:rsidRPr="00C86BCC">
              <w:rPr>
                <w:rFonts w:ascii="Arial" w:hAnsi="Arial" w:cs="Arial"/>
                <w:b/>
                <w:color w:val="548DD4" w:themeColor="text2" w:themeTint="99"/>
                <w:sz w:val="18"/>
                <w:szCs w:val="18"/>
                <w:lang w:val="de-DE"/>
              </w:rPr>
              <w:t>Produkt:</w:t>
            </w:r>
          </w:p>
          <w:p w14:paraId="786AF097" w14:textId="46550F26" w:rsidR="00BE5338" w:rsidRDefault="00BE5338" w:rsidP="004B7559">
            <w:pPr>
              <w:ind w:left="4284" w:hanging="4253"/>
              <w:jc w:val="both"/>
              <w:rPr>
                <w:rFonts w:ascii="Arial" w:hAnsi="Arial" w:cs="Arial"/>
                <w:b/>
                <w:bCs/>
                <w:sz w:val="16"/>
                <w:szCs w:val="16"/>
                <w:lang w:val="de-DE"/>
              </w:rPr>
            </w:pPr>
            <w:r w:rsidRPr="00C86BCC">
              <w:rPr>
                <w:rFonts w:ascii="Arial" w:hAnsi="Arial" w:cs="Arial"/>
                <w:b/>
                <w:sz w:val="16"/>
                <w:szCs w:val="16"/>
                <w:lang w:val="de-DE"/>
              </w:rPr>
              <w:t>Name des Produktes:</w:t>
            </w:r>
            <w:r w:rsidRPr="00C86BCC">
              <w:rPr>
                <w:rFonts w:ascii="Arial" w:hAnsi="Arial" w:cs="Arial"/>
                <w:b/>
                <w:sz w:val="16"/>
                <w:szCs w:val="16"/>
                <w:lang w:val="de-DE"/>
              </w:rPr>
              <w:tab/>
            </w:r>
            <w:r w:rsidR="00FB6952" w:rsidRPr="00FB6952">
              <w:rPr>
                <w:rFonts w:ascii="Arial" w:hAnsi="Arial" w:cs="Arial"/>
                <w:b/>
                <w:bCs/>
                <w:sz w:val="16"/>
                <w:szCs w:val="16"/>
                <w:lang w:val="de-DE"/>
              </w:rPr>
              <w:t>2 %-Wandelschuldverschreibung August 2023/2025</w:t>
            </w:r>
          </w:p>
          <w:p w14:paraId="3FC4462B" w14:textId="4063378B" w:rsidR="00FB6952" w:rsidRPr="00FB6952" w:rsidRDefault="00FB6952" w:rsidP="00FB6952">
            <w:pPr>
              <w:ind w:left="2835" w:hanging="2835"/>
              <w:jc w:val="both"/>
              <w:rPr>
                <w:rFonts w:ascii="Arial" w:hAnsi="Arial" w:cs="Arial"/>
                <w:b/>
                <w:sz w:val="16"/>
                <w:szCs w:val="16"/>
                <w:lang w:val="de-DE"/>
              </w:rPr>
            </w:pPr>
            <w:r w:rsidRPr="00FB6952">
              <w:rPr>
                <w:rFonts w:ascii="Arial" w:hAnsi="Arial" w:cs="Arial"/>
                <w:b/>
                <w:sz w:val="16"/>
                <w:szCs w:val="16"/>
                <w:lang w:val="de-DE"/>
              </w:rPr>
              <w:t>WKN / ISIN:</w:t>
            </w:r>
            <w:r w:rsidRPr="00FB6952">
              <w:rPr>
                <w:rFonts w:ascii="Arial" w:hAnsi="Arial" w:cs="Arial"/>
                <w:b/>
                <w:sz w:val="16"/>
                <w:szCs w:val="16"/>
                <w:lang w:val="de-DE"/>
              </w:rPr>
              <w:tab/>
            </w:r>
            <w:r w:rsidRPr="00FB6952">
              <w:rPr>
                <w:rFonts w:ascii="Arial" w:hAnsi="Arial" w:cs="Arial"/>
                <w:b/>
                <w:sz w:val="16"/>
                <w:szCs w:val="16"/>
                <w:lang w:val="de-DE"/>
              </w:rPr>
              <w:tab/>
            </w:r>
            <w:r w:rsidRPr="00FB6952">
              <w:rPr>
                <w:rFonts w:ascii="Arial" w:hAnsi="Arial" w:cs="Arial"/>
                <w:b/>
                <w:sz w:val="16"/>
                <w:szCs w:val="16"/>
                <w:lang w:val="de-DE"/>
              </w:rPr>
              <w:tab/>
            </w:r>
            <w:r w:rsidRPr="00FB6952">
              <w:rPr>
                <w:rFonts w:ascii="Arial" w:hAnsi="Arial" w:cs="Arial"/>
                <w:b/>
                <w:sz w:val="16"/>
                <w:szCs w:val="16"/>
                <w:lang w:val="de-DE"/>
              </w:rPr>
              <w:tab/>
            </w:r>
            <w:r w:rsidR="007321F9" w:rsidRPr="007321F9">
              <w:rPr>
                <w:rFonts w:ascii="Arial" w:hAnsi="Arial" w:cs="Arial"/>
                <w:b/>
                <w:sz w:val="16"/>
                <w:szCs w:val="16"/>
                <w:lang w:val="de-DE"/>
              </w:rPr>
              <w:t>DE000A351VJ4 / WKN A351VJ</w:t>
            </w:r>
          </w:p>
          <w:p w14:paraId="3BFD2E30" w14:textId="7EE9298D" w:rsidR="004B7559" w:rsidRDefault="00BE5338" w:rsidP="004B7559">
            <w:pPr>
              <w:ind w:left="4284" w:hanging="4253"/>
              <w:jc w:val="both"/>
              <w:rPr>
                <w:rFonts w:ascii="Arial" w:hAnsi="Arial" w:cs="Arial"/>
                <w:b/>
                <w:sz w:val="16"/>
                <w:szCs w:val="16"/>
                <w:lang w:val="de-DE"/>
              </w:rPr>
            </w:pPr>
            <w:r w:rsidRPr="00C86BCC">
              <w:rPr>
                <w:rFonts w:ascii="Arial" w:hAnsi="Arial" w:cs="Arial"/>
                <w:b/>
                <w:sz w:val="16"/>
                <w:szCs w:val="16"/>
                <w:lang w:val="de-DE"/>
              </w:rPr>
              <w:t>Name des PRIIP-Herstellers:</w:t>
            </w:r>
            <w:r w:rsidRPr="00C86BCC">
              <w:rPr>
                <w:rFonts w:ascii="Arial" w:hAnsi="Arial" w:cs="Arial"/>
                <w:b/>
                <w:sz w:val="16"/>
                <w:szCs w:val="16"/>
                <w:lang w:val="de-DE"/>
              </w:rPr>
              <w:tab/>
            </w:r>
            <w:r w:rsidR="00FB6952">
              <w:rPr>
                <w:rFonts w:ascii="Arial" w:hAnsi="Arial" w:cs="Arial"/>
                <w:b/>
                <w:sz w:val="16"/>
                <w:szCs w:val="16"/>
                <w:lang w:val="de-DE"/>
              </w:rPr>
              <w:t>SynBiotic SE</w:t>
            </w:r>
            <w:r w:rsidR="00FB6952" w:rsidRPr="00FB6952">
              <w:rPr>
                <w:rFonts w:ascii="Arial" w:hAnsi="Arial" w:cs="Arial"/>
                <w:b/>
                <w:sz w:val="16"/>
                <w:szCs w:val="16"/>
                <w:lang w:val="de-DE"/>
              </w:rPr>
              <w:t xml:space="preserve"> </w:t>
            </w:r>
            <w:r w:rsidR="00B71F53" w:rsidRPr="00C86BCC">
              <w:rPr>
                <w:rFonts w:ascii="Arial" w:hAnsi="Arial" w:cs="Arial"/>
                <w:sz w:val="16"/>
                <w:szCs w:val="16"/>
                <w:lang w:val="de-DE"/>
              </w:rPr>
              <w:t>(nachfolgend auch „</w:t>
            </w:r>
            <w:r w:rsidR="00B71F53" w:rsidRPr="00C86BCC">
              <w:rPr>
                <w:rFonts w:ascii="Arial" w:hAnsi="Arial" w:cs="Arial"/>
                <w:b/>
                <w:sz w:val="16"/>
                <w:szCs w:val="16"/>
                <w:lang w:val="de-DE"/>
              </w:rPr>
              <w:t>Emittentin</w:t>
            </w:r>
            <w:r w:rsidR="00B71F53" w:rsidRPr="00C86BCC">
              <w:rPr>
                <w:rFonts w:ascii="Arial" w:hAnsi="Arial" w:cs="Arial"/>
                <w:sz w:val="16"/>
                <w:szCs w:val="16"/>
                <w:lang w:val="de-DE"/>
              </w:rPr>
              <w:t>“)</w:t>
            </w:r>
          </w:p>
          <w:p w14:paraId="399CD149" w14:textId="4A39351C" w:rsidR="00BE5338" w:rsidRPr="00C86BCC" w:rsidRDefault="004B7559" w:rsidP="004B7559">
            <w:pPr>
              <w:ind w:left="4284" w:hanging="4253"/>
              <w:jc w:val="both"/>
              <w:rPr>
                <w:rFonts w:ascii="Arial" w:hAnsi="Arial" w:cs="Arial"/>
                <w:b/>
                <w:sz w:val="16"/>
                <w:szCs w:val="16"/>
                <w:lang w:val="de-DE"/>
              </w:rPr>
            </w:pPr>
            <w:r>
              <w:rPr>
                <w:rFonts w:ascii="Arial" w:hAnsi="Arial" w:cs="Arial"/>
                <w:b/>
                <w:sz w:val="16"/>
                <w:szCs w:val="16"/>
                <w:lang w:val="de-DE"/>
              </w:rPr>
              <w:tab/>
            </w:r>
            <w:r w:rsidR="00FB6952" w:rsidRPr="00FB6952">
              <w:rPr>
                <w:rFonts w:ascii="Arial" w:hAnsi="Arial" w:cs="Arial"/>
                <w:b/>
                <w:sz w:val="16"/>
                <w:szCs w:val="16"/>
                <w:lang w:val="de-DE"/>
              </w:rPr>
              <w:t>Barer Straße 7, 80333 München</w:t>
            </w:r>
            <w:r w:rsidR="00FB6952">
              <w:rPr>
                <w:rFonts w:ascii="Arial" w:hAnsi="Arial" w:cs="Arial"/>
                <w:b/>
                <w:sz w:val="16"/>
                <w:szCs w:val="16"/>
                <w:lang w:val="de-DE"/>
              </w:rPr>
              <w:t>, (</w:t>
            </w:r>
            <w:r w:rsidR="00D13361">
              <w:rPr>
                <w:rFonts w:ascii="Arial" w:hAnsi="Arial" w:cs="Arial"/>
                <w:b/>
                <w:sz w:val="16"/>
                <w:szCs w:val="16"/>
                <w:lang w:val="de-DE"/>
              </w:rPr>
              <w:t>HRB </w:t>
            </w:r>
            <w:r w:rsidR="00FB6952">
              <w:rPr>
                <w:rFonts w:ascii="Arial" w:hAnsi="Arial" w:cs="Arial"/>
                <w:b/>
                <w:sz w:val="16"/>
                <w:szCs w:val="16"/>
                <w:lang w:val="de-DE"/>
              </w:rPr>
              <w:t>257735)</w:t>
            </w:r>
          </w:p>
          <w:p w14:paraId="50159DE2" w14:textId="25DC1B6A" w:rsidR="00BE5338" w:rsidRPr="00C86BCC" w:rsidRDefault="004B7559" w:rsidP="004B7559">
            <w:pPr>
              <w:ind w:left="4284" w:hanging="4253"/>
              <w:jc w:val="both"/>
              <w:rPr>
                <w:rFonts w:ascii="Arial" w:hAnsi="Arial" w:cs="Arial"/>
                <w:b/>
                <w:sz w:val="16"/>
                <w:szCs w:val="16"/>
                <w:lang w:val="de-DE"/>
              </w:rPr>
            </w:pPr>
            <w:r>
              <w:rPr>
                <w:rFonts w:ascii="Arial" w:hAnsi="Arial" w:cs="Arial"/>
                <w:b/>
                <w:sz w:val="16"/>
                <w:szCs w:val="16"/>
                <w:lang w:val="de-DE"/>
              </w:rPr>
              <w:t>Website des PRIIP-Herstellers:</w:t>
            </w:r>
            <w:r>
              <w:rPr>
                <w:rFonts w:ascii="Arial" w:hAnsi="Arial" w:cs="Arial"/>
                <w:b/>
                <w:sz w:val="16"/>
                <w:szCs w:val="16"/>
                <w:lang w:val="de-DE"/>
              </w:rPr>
              <w:tab/>
            </w:r>
            <w:r w:rsidR="00FB6952" w:rsidRPr="00FB6952">
              <w:rPr>
                <w:rFonts w:ascii="Arial" w:hAnsi="Arial" w:cs="Arial"/>
                <w:b/>
                <w:sz w:val="16"/>
                <w:szCs w:val="16"/>
                <w:lang w:val="de-DE"/>
              </w:rPr>
              <w:t>https://www.synbiotic.com/</w:t>
            </w:r>
          </w:p>
          <w:p w14:paraId="6856C210" w14:textId="068BE642" w:rsidR="00BE5338" w:rsidRPr="00C86BCC" w:rsidRDefault="004B7559" w:rsidP="004B7559">
            <w:pPr>
              <w:pBdr>
                <w:bottom w:val="single" w:sz="4" w:space="1" w:color="auto"/>
              </w:pBdr>
              <w:ind w:left="4284" w:hanging="4253"/>
              <w:jc w:val="both"/>
              <w:rPr>
                <w:rFonts w:ascii="Arial" w:hAnsi="Arial" w:cs="Arial"/>
                <w:b/>
                <w:sz w:val="16"/>
                <w:szCs w:val="16"/>
                <w:lang w:val="de-DE"/>
              </w:rPr>
            </w:pPr>
            <w:r w:rsidRPr="00C86BCC">
              <w:rPr>
                <w:rFonts w:ascii="Arial" w:hAnsi="Arial" w:cs="Arial"/>
                <w:b/>
                <w:sz w:val="16"/>
                <w:szCs w:val="16"/>
                <w:lang w:val="de-DE"/>
              </w:rPr>
              <w:t>Weitere Informationen erhalten Sie telefonisch unter:</w:t>
            </w:r>
            <w:r>
              <w:rPr>
                <w:rFonts w:ascii="Arial" w:hAnsi="Arial" w:cs="Arial"/>
                <w:b/>
                <w:sz w:val="16"/>
                <w:szCs w:val="16"/>
                <w:lang w:val="de-DE"/>
              </w:rPr>
              <w:tab/>
            </w:r>
            <w:r w:rsidR="005A513B" w:rsidRPr="005A513B">
              <w:rPr>
                <w:rFonts w:ascii="Arial" w:hAnsi="Arial" w:cs="Arial"/>
                <w:b/>
                <w:sz w:val="16"/>
                <w:szCs w:val="16"/>
                <w:lang w:val="de-DE"/>
              </w:rPr>
              <w:t>+</w:t>
            </w:r>
            <w:r w:rsidR="005A513B" w:rsidRPr="001729E8">
              <w:rPr>
                <w:rFonts w:ascii="Arial" w:hAnsi="Arial" w:cs="Arial"/>
                <w:b/>
                <w:sz w:val="16"/>
                <w:szCs w:val="16"/>
                <w:lang w:val="de-DE"/>
              </w:rPr>
              <w:t xml:space="preserve">49 </w:t>
            </w:r>
            <w:r w:rsidR="00FB6952">
              <w:rPr>
                <w:rFonts w:ascii="Arial" w:hAnsi="Arial" w:cs="Arial"/>
                <w:b/>
                <w:sz w:val="16"/>
                <w:szCs w:val="16"/>
                <w:lang w:val="de-DE"/>
              </w:rPr>
              <w:t>[</w:t>
            </w:r>
            <w:r w:rsidR="00FB6952" w:rsidRPr="00FB6952">
              <w:rPr>
                <w:rFonts w:ascii="Arial" w:hAnsi="Arial" w:cs="Arial"/>
                <w:b/>
                <w:sz w:val="16"/>
                <w:szCs w:val="16"/>
                <w:highlight w:val="yellow"/>
                <w:lang w:val="de-DE"/>
              </w:rPr>
              <w:t>…</w:t>
            </w:r>
            <w:r w:rsidR="00FB6952">
              <w:rPr>
                <w:rFonts w:ascii="Arial" w:hAnsi="Arial" w:cs="Arial"/>
                <w:b/>
                <w:sz w:val="16"/>
                <w:szCs w:val="16"/>
                <w:lang w:val="de-DE"/>
              </w:rPr>
              <w:t>]</w:t>
            </w:r>
          </w:p>
          <w:p w14:paraId="65C07649" w14:textId="77777777" w:rsidR="004B7559" w:rsidRPr="00C86BCC" w:rsidRDefault="004B7559" w:rsidP="004B7559">
            <w:pPr>
              <w:pBdr>
                <w:top w:val="single" w:sz="2" w:space="1" w:color="auto"/>
                <w:bottom w:val="single" w:sz="2" w:space="1" w:color="auto"/>
              </w:pBdr>
              <w:ind w:left="4288" w:hanging="4257"/>
              <w:jc w:val="both"/>
              <w:rPr>
                <w:rFonts w:ascii="Arial" w:hAnsi="Arial" w:cs="Arial"/>
                <w:b/>
                <w:sz w:val="16"/>
                <w:szCs w:val="16"/>
                <w:lang w:val="de-DE"/>
              </w:rPr>
            </w:pPr>
            <w:r>
              <w:rPr>
                <w:rFonts w:ascii="Arial" w:hAnsi="Arial" w:cs="Arial"/>
                <w:b/>
                <w:sz w:val="16"/>
                <w:szCs w:val="16"/>
                <w:lang w:val="de-DE"/>
              </w:rPr>
              <w:t>Name der z</w:t>
            </w:r>
            <w:r w:rsidRPr="00C86BCC">
              <w:rPr>
                <w:rFonts w:ascii="Arial" w:hAnsi="Arial" w:cs="Arial"/>
                <w:b/>
                <w:sz w:val="16"/>
                <w:szCs w:val="16"/>
                <w:lang w:val="de-DE"/>
              </w:rPr>
              <w:t>uständige</w:t>
            </w:r>
            <w:r>
              <w:rPr>
                <w:rFonts w:ascii="Arial" w:hAnsi="Arial" w:cs="Arial"/>
                <w:b/>
                <w:sz w:val="16"/>
                <w:szCs w:val="16"/>
                <w:lang w:val="de-DE"/>
              </w:rPr>
              <w:t>n</w:t>
            </w:r>
            <w:r w:rsidRPr="00C86BCC">
              <w:rPr>
                <w:rFonts w:ascii="Arial" w:hAnsi="Arial" w:cs="Arial"/>
                <w:b/>
                <w:sz w:val="16"/>
                <w:szCs w:val="16"/>
                <w:lang w:val="de-DE"/>
              </w:rPr>
              <w:t xml:space="preserve"> Aufsichtsbehörde:</w:t>
            </w:r>
            <w:r>
              <w:rPr>
                <w:rFonts w:ascii="Arial" w:hAnsi="Arial" w:cs="Arial"/>
                <w:b/>
                <w:sz w:val="16"/>
                <w:szCs w:val="16"/>
                <w:lang w:val="de-DE"/>
              </w:rPr>
              <w:tab/>
              <w:t xml:space="preserve">Die </w:t>
            </w:r>
            <w:r w:rsidRPr="00C86BCC">
              <w:rPr>
                <w:rFonts w:ascii="Arial" w:hAnsi="Arial" w:cs="Arial"/>
                <w:b/>
                <w:sz w:val="16"/>
                <w:szCs w:val="16"/>
                <w:lang w:val="de-DE"/>
              </w:rPr>
              <w:t>Bundesanstalt für Finanzdienstleistungsaufsicht (BaFin)</w:t>
            </w:r>
            <w:r>
              <w:rPr>
                <w:rFonts w:ascii="Arial" w:hAnsi="Arial" w:cs="Arial"/>
                <w:b/>
                <w:sz w:val="16"/>
                <w:szCs w:val="16"/>
                <w:lang w:val="de-DE"/>
              </w:rPr>
              <w:t xml:space="preserve"> ist für die Aufsicht der Emittentin in Bezug diese Basisinformationsblatt zuständig.</w:t>
            </w:r>
            <w:r w:rsidRPr="00C86BCC">
              <w:rPr>
                <w:rFonts w:ascii="Arial" w:hAnsi="Arial" w:cs="Arial"/>
                <w:b/>
                <w:sz w:val="16"/>
                <w:szCs w:val="16"/>
                <w:lang w:val="de-DE"/>
              </w:rPr>
              <w:tab/>
            </w:r>
            <w:r w:rsidRPr="00C86BCC">
              <w:rPr>
                <w:rFonts w:ascii="Arial" w:hAnsi="Arial" w:cs="Arial"/>
                <w:b/>
                <w:sz w:val="16"/>
                <w:szCs w:val="16"/>
                <w:lang w:val="de-DE"/>
              </w:rPr>
              <w:tab/>
            </w:r>
          </w:p>
          <w:p w14:paraId="395EE63D" w14:textId="4B5AC90B" w:rsidR="00BE5338" w:rsidRPr="00C86BCC" w:rsidRDefault="004B7559" w:rsidP="004B7559">
            <w:pPr>
              <w:ind w:left="4284" w:hanging="4253"/>
              <w:jc w:val="both"/>
              <w:rPr>
                <w:rFonts w:ascii="Arial" w:hAnsi="Arial" w:cs="Arial"/>
                <w:b/>
                <w:sz w:val="16"/>
                <w:szCs w:val="16"/>
                <w:lang w:val="de-DE"/>
              </w:rPr>
            </w:pPr>
            <w:r w:rsidRPr="00C86BCC">
              <w:rPr>
                <w:rFonts w:ascii="Arial" w:hAnsi="Arial" w:cs="Arial"/>
                <w:b/>
                <w:sz w:val="16"/>
                <w:szCs w:val="16"/>
                <w:lang w:val="de-DE"/>
              </w:rPr>
              <w:t xml:space="preserve">Datum </w:t>
            </w:r>
            <w:r>
              <w:rPr>
                <w:rFonts w:ascii="Arial" w:hAnsi="Arial" w:cs="Arial"/>
                <w:b/>
                <w:sz w:val="16"/>
                <w:szCs w:val="16"/>
                <w:lang w:val="de-DE"/>
              </w:rPr>
              <w:t xml:space="preserve">der Erstellung </w:t>
            </w:r>
            <w:r w:rsidRPr="00C86BCC">
              <w:rPr>
                <w:rFonts w:ascii="Arial" w:hAnsi="Arial" w:cs="Arial"/>
                <w:b/>
                <w:sz w:val="16"/>
                <w:szCs w:val="16"/>
                <w:lang w:val="de-DE"/>
              </w:rPr>
              <w:t>des Basisinformationsblatts:</w:t>
            </w:r>
            <w:r>
              <w:rPr>
                <w:rFonts w:ascii="Arial" w:hAnsi="Arial" w:cs="Arial"/>
                <w:b/>
                <w:sz w:val="16"/>
                <w:szCs w:val="16"/>
                <w:lang w:val="de-DE"/>
              </w:rPr>
              <w:tab/>
            </w:r>
            <w:r w:rsidR="00B05A0E" w:rsidRPr="007321F9">
              <w:rPr>
                <w:rFonts w:ascii="Arial" w:hAnsi="Arial" w:cs="Arial"/>
                <w:b/>
                <w:sz w:val="16"/>
                <w:szCs w:val="16"/>
                <w:lang w:val="de-DE"/>
              </w:rPr>
              <w:t>2</w:t>
            </w:r>
            <w:r w:rsidR="007321F9" w:rsidRPr="007321F9">
              <w:rPr>
                <w:rFonts w:ascii="Arial" w:hAnsi="Arial" w:cs="Arial"/>
                <w:b/>
                <w:sz w:val="16"/>
                <w:szCs w:val="16"/>
                <w:lang w:val="de-DE"/>
              </w:rPr>
              <w:t>8</w:t>
            </w:r>
            <w:r w:rsidR="00B05A0E" w:rsidRPr="007321F9">
              <w:rPr>
                <w:rFonts w:ascii="Arial" w:hAnsi="Arial" w:cs="Arial"/>
                <w:b/>
                <w:sz w:val="16"/>
                <w:szCs w:val="16"/>
                <w:lang w:val="de-DE"/>
              </w:rPr>
              <w:t>. </w:t>
            </w:r>
            <w:r w:rsidR="00FB6952" w:rsidRPr="007321F9">
              <w:rPr>
                <w:rFonts w:ascii="Arial" w:hAnsi="Arial" w:cs="Arial"/>
                <w:b/>
                <w:sz w:val="16"/>
                <w:szCs w:val="16"/>
                <w:lang w:val="de-DE"/>
              </w:rPr>
              <w:t>A</w:t>
            </w:r>
            <w:r w:rsidR="00FB6952">
              <w:rPr>
                <w:rFonts w:ascii="Arial" w:hAnsi="Arial" w:cs="Arial"/>
                <w:b/>
                <w:sz w:val="16"/>
                <w:szCs w:val="16"/>
                <w:lang w:val="de-DE"/>
              </w:rPr>
              <w:t>ugust</w:t>
            </w:r>
            <w:r w:rsidR="00D13361">
              <w:rPr>
                <w:rFonts w:ascii="Arial" w:hAnsi="Arial" w:cs="Arial"/>
                <w:b/>
                <w:sz w:val="16"/>
                <w:szCs w:val="16"/>
                <w:lang w:val="de-DE"/>
              </w:rPr>
              <w:t> </w:t>
            </w:r>
            <w:r w:rsidRPr="00C86BCC">
              <w:rPr>
                <w:rFonts w:ascii="Arial" w:hAnsi="Arial" w:cs="Arial"/>
                <w:b/>
                <w:sz w:val="16"/>
                <w:szCs w:val="16"/>
                <w:lang w:val="de-DE"/>
              </w:rPr>
              <w:t>202</w:t>
            </w:r>
            <w:r>
              <w:rPr>
                <w:rFonts w:ascii="Arial" w:hAnsi="Arial" w:cs="Arial"/>
                <w:b/>
                <w:sz w:val="16"/>
                <w:szCs w:val="16"/>
                <w:lang w:val="de-DE"/>
              </w:rPr>
              <w:t>3</w:t>
            </w:r>
          </w:p>
        </w:tc>
      </w:tr>
      <w:tr w:rsidR="00BE5338" w:rsidRPr="0021295F" w14:paraId="39549859" w14:textId="77777777" w:rsidTr="00720E1E">
        <w:tc>
          <w:tcPr>
            <w:tcW w:w="11483" w:type="dxa"/>
            <w:gridSpan w:val="3"/>
            <w:tcBorders>
              <w:left w:val="nil"/>
              <w:right w:val="nil"/>
            </w:tcBorders>
            <w:shd w:val="clear" w:color="auto" w:fill="FFFFFF" w:themeFill="background1"/>
          </w:tcPr>
          <w:p w14:paraId="60A1A461" w14:textId="77777777" w:rsidR="003E7D38" w:rsidRDefault="003E7D38" w:rsidP="00BE5338">
            <w:pPr>
              <w:jc w:val="both"/>
              <w:rPr>
                <w:rFonts w:ascii="Arial" w:hAnsi="Arial" w:cs="Arial"/>
                <w:b/>
                <w:color w:val="548DD4" w:themeColor="text2" w:themeTint="99"/>
                <w:sz w:val="18"/>
                <w:szCs w:val="18"/>
                <w:lang w:val="de-DE"/>
              </w:rPr>
            </w:pPr>
          </w:p>
          <w:p w14:paraId="6E0AFA59" w14:textId="342C0098" w:rsidR="003E7D38" w:rsidRDefault="00BE5338" w:rsidP="00BE5338">
            <w:pPr>
              <w:jc w:val="both"/>
              <w:rPr>
                <w:rFonts w:ascii="Arial" w:hAnsi="Arial" w:cs="Arial"/>
                <w:b/>
                <w:bCs/>
                <w:color w:val="000000" w:themeColor="text1"/>
                <w:sz w:val="16"/>
                <w:szCs w:val="16"/>
                <w:lang w:val="de-DE"/>
              </w:rPr>
            </w:pPr>
            <w:r w:rsidRPr="00C86BCC">
              <w:rPr>
                <w:rFonts w:ascii="Arial" w:hAnsi="Arial" w:cs="Arial"/>
                <w:b/>
                <w:color w:val="548DD4" w:themeColor="text2" w:themeTint="99"/>
                <w:sz w:val="18"/>
                <w:szCs w:val="18"/>
                <w:lang w:val="de-DE"/>
              </w:rPr>
              <w:t>Warnhinweis</w:t>
            </w:r>
          </w:p>
          <w:p w14:paraId="774E7A97" w14:textId="77777777" w:rsidR="005828E8" w:rsidRDefault="005828E8" w:rsidP="00BE5338">
            <w:pPr>
              <w:jc w:val="both"/>
              <w:rPr>
                <w:rFonts w:ascii="Arial" w:hAnsi="Arial" w:cs="Arial"/>
                <w:b/>
                <w:bCs/>
                <w:color w:val="000000" w:themeColor="text1"/>
                <w:sz w:val="16"/>
                <w:szCs w:val="16"/>
                <w:lang w:val="de-DE"/>
              </w:rPr>
            </w:pPr>
          </w:p>
          <w:p w14:paraId="329DD7B1" w14:textId="0D39A3D3" w:rsidR="00BE5338" w:rsidRDefault="00BE5338" w:rsidP="00BE5338">
            <w:pPr>
              <w:jc w:val="both"/>
              <w:rPr>
                <w:rFonts w:ascii="Arial" w:hAnsi="Arial" w:cs="Arial"/>
                <w:b/>
                <w:bCs/>
                <w:color w:val="000000" w:themeColor="text1"/>
                <w:sz w:val="16"/>
                <w:szCs w:val="16"/>
                <w:lang w:val="de-DE"/>
              </w:rPr>
            </w:pPr>
            <w:r w:rsidRPr="00E63059">
              <w:rPr>
                <w:rFonts w:ascii="Arial" w:hAnsi="Arial" w:cs="Arial"/>
                <w:b/>
                <w:bCs/>
                <w:color w:val="000000" w:themeColor="text1"/>
                <w:sz w:val="16"/>
                <w:szCs w:val="16"/>
                <w:lang w:val="de-DE"/>
              </w:rPr>
              <w:t>Sie sind im Begriff, ein Produkt zu erwerben, das nicht einfach ist und schwer zu verstehen sein kann.</w:t>
            </w:r>
          </w:p>
          <w:p w14:paraId="61A60682" w14:textId="171F9B84" w:rsidR="003E7D38" w:rsidRPr="00E63059" w:rsidRDefault="003E7D38" w:rsidP="00BE5338">
            <w:pPr>
              <w:jc w:val="both"/>
              <w:rPr>
                <w:rFonts w:ascii="Arial" w:hAnsi="Arial" w:cs="Arial"/>
                <w:b/>
                <w:bCs/>
                <w:color w:val="548DD4" w:themeColor="text2" w:themeTint="99"/>
                <w:sz w:val="16"/>
                <w:szCs w:val="16"/>
                <w:lang w:val="de-DE"/>
              </w:rPr>
            </w:pPr>
          </w:p>
        </w:tc>
      </w:tr>
      <w:tr w:rsidR="00E83366" w:rsidRPr="009D74D1" w14:paraId="35ED133E" w14:textId="77777777" w:rsidTr="00720E1E">
        <w:tc>
          <w:tcPr>
            <w:tcW w:w="11483" w:type="dxa"/>
            <w:gridSpan w:val="3"/>
            <w:tcBorders>
              <w:left w:val="nil"/>
              <w:bottom w:val="single" w:sz="4" w:space="0" w:color="auto"/>
              <w:right w:val="nil"/>
            </w:tcBorders>
            <w:shd w:val="clear" w:color="auto" w:fill="C6D9F1" w:themeFill="text2" w:themeFillTint="33"/>
          </w:tcPr>
          <w:p w14:paraId="70615624" w14:textId="77777777" w:rsidR="003E7D38" w:rsidRDefault="003E7D38" w:rsidP="00A10991">
            <w:pPr>
              <w:jc w:val="both"/>
              <w:rPr>
                <w:rFonts w:ascii="Arial" w:hAnsi="Arial" w:cs="Arial"/>
                <w:b/>
                <w:color w:val="548DD4" w:themeColor="text2" w:themeTint="99"/>
                <w:sz w:val="18"/>
                <w:szCs w:val="18"/>
                <w:lang w:val="de-DE"/>
              </w:rPr>
            </w:pPr>
          </w:p>
          <w:p w14:paraId="5E9325D2" w14:textId="483D3D31" w:rsidR="00E83366" w:rsidRPr="003F1291" w:rsidRDefault="00E83366" w:rsidP="00A10991">
            <w:pPr>
              <w:jc w:val="both"/>
              <w:rPr>
                <w:rFonts w:ascii="Arial" w:hAnsi="Arial" w:cs="Arial"/>
                <w:b/>
                <w:color w:val="548DD4" w:themeColor="text2" w:themeTint="99"/>
                <w:sz w:val="18"/>
                <w:szCs w:val="18"/>
                <w:lang w:val="de-DE"/>
              </w:rPr>
            </w:pPr>
            <w:r w:rsidRPr="003F1291">
              <w:rPr>
                <w:rFonts w:ascii="Arial" w:hAnsi="Arial" w:cs="Arial"/>
                <w:b/>
                <w:color w:val="548DD4" w:themeColor="text2" w:themeTint="99"/>
                <w:sz w:val="18"/>
                <w:szCs w:val="18"/>
                <w:lang w:val="de-DE"/>
              </w:rPr>
              <w:t>Um welche Art von Produkt handelt es sich?</w:t>
            </w:r>
          </w:p>
          <w:p w14:paraId="6B64DF8B" w14:textId="77777777" w:rsidR="00BE5338" w:rsidRPr="00466032" w:rsidRDefault="00BE5338" w:rsidP="00BE5338">
            <w:pPr>
              <w:jc w:val="both"/>
              <w:rPr>
                <w:rFonts w:ascii="Arial" w:hAnsi="Arial" w:cs="Arial"/>
                <w:b/>
                <w:sz w:val="16"/>
                <w:szCs w:val="16"/>
                <w:lang w:val="de-DE"/>
              </w:rPr>
            </w:pPr>
            <w:r w:rsidRPr="00466032">
              <w:rPr>
                <w:rFonts w:ascii="Arial" w:hAnsi="Arial" w:cs="Arial"/>
                <w:b/>
                <w:sz w:val="16"/>
                <w:szCs w:val="16"/>
                <w:lang w:val="de-DE"/>
              </w:rPr>
              <w:t>Art</w:t>
            </w:r>
          </w:p>
          <w:p w14:paraId="11605BA1" w14:textId="63A7973E" w:rsidR="00FB6952" w:rsidRDefault="00FB6952" w:rsidP="007F545B">
            <w:pPr>
              <w:jc w:val="both"/>
              <w:rPr>
                <w:rFonts w:ascii="Arial" w:hAnsi="Arial" w:cs="Arial"/>
                <w:sz w:val="16"/>
                <w:szCs w:val="16"/>
                <w:lang w:val="de-DE"/>
              </w:rPr>
            </w:pPr>
            <w:r w:rsidRPr="00FB6952">
              <w:rPr>
                <w:rFonts w:ascii="Arial" w:hAnsi="Arial" w:cs="Arial"/>
                <w:sz w:val="16"/>
                <w:szCs w:val="16"/>
                <w:lang w:val="de-DE"/>
              </w:rPr>
              <w:t xml:space="preserve">Dieses Produkt ist eine Wandelanleihe mit einer Laufzeit von 2 Jahren (bis einschließlich </w:t>
            </w:r>
            <w:r w:rsidR="007321F9">
              <w:rPr>
                <w:rFonts w:ascii="Arial" w:hAnsi="Arial" w:cs="Arial"/>
                <w:sz w:val="16"/>
                <w:szCs w:val="16"/>
                <w:lang w:val="de-DE"/>
              </w:rPr>
              <w:t>14. September 2025</w:t>
            </w:r>
            <w:r w:rsidRPr="00FB6952">
              <w:rPr>
                <w:rFonts w:ascii="Arial" w:hAnsi="Arial" w:cs="Arial"/>
                <w:sz w:val="16"/>
                <w:szCs w:val="16"/>
                <w:lang w:val="de-DE"/>
              </w:rPr>
              <w:t>), die unter dem Recht der Bundesrepublik Deutschland begeben wurde („</w:t>
            </w:r>
            <w:r w:rsidRPr="009D74D1">
              <w:rPr>
                <w:rFonts w:ascii="Arial" w:hAnsi="Arial" w:cs="Arial"/>
                <w:b/>
                <w:sz w:val="16"/>
                <w:szCs w:val="16"/>
                <w:lang w:val="de-DE"/>
              </w:rPr>
              <w:t>Produkt</w:t>
            </w:r>
            <w:r w:rsidRPr="00FB6952">
              <w:rPr>
                <w:rFonts w:ascii="Arial" w:hAnsi="Arial" w:cs="Arial"/>
                <w:sz w:val="16"/>
                <w:szCs w:val="16"/>
                <w:lang w:val="de-DE"/>
              </w:rPr>
              <w:t>"). Das Produkt ist eingeteilt in bis zu 1.</w:t>
            </w:r>
            <w:r w:rsidR="007321F9">
              <w:rPr>
                <w:rFonts w:ascii="Arial" w:hAnsi="Arial" w:cs="Arial"/>
                <w:sz w:val="16"/>
                <w:szCs w:val="16"/>
                <w:lang w:val="de-DE"/>
              </w:rPr>
              <w:t>0</w:t>
            </w:r>
            <w:r w:rsidRPr="00FB6952">
              <w:rPr>
                <w:rFonts w:ascii="Arial" w:hAnsi="Arial" w:cs="Arial"/>
                <w:sz w:val="16"/>
                <w:szCs w:val="16"/>
                <w:lang w:val="de-DE"/>
              </w:rPr>
              <w:t xml:space="preserve">00.000 Stück auf den Inhaber lautende, untereinander gleichberechtigte Teilschuldverschreibungen im Nennbetrag von je EUR </w:t>
            </w:r>
            <w:r w:rsidR="007321F9">
              <w:rPr>
                <w:rFonts w:ascii="Arial" w:hAnsi="Arial" w:cs="Arial"/>
                <w:sz w:val="16"/>
                <w:szCs w:val="16"/>
                <w:lang w:val="de-DE"/>
              </w:rPr>
              <w:t>5,20</w:t>
            </w:r>
            <w:r w:rsidRPr="00FB6952">
              <w:rPr>
                <w:rFonts w:ascii="Arial" w:hAnsi="Arial" w:cs="Arial"/>
                <w:sz w:val="16"/>
                <w:szCs w:val="16"/>
                <w:lang w:val="de-DE"/>
              </w:rPr>
              <w:t xml:space="preserve"> (jeweils eine „</w:t>
            </w:r>
            <w:r w:rsidRPr="007321F9">
              <w:rPr>
                <w:rFonts w:ascii="Arial" w:hAnsi="Arial" w:cs="Arial"/>
                <w:b/>
                <w:sz w:val="16"/>
                <w:szCs w:val="16"/>
                <w:lang w:val="de-DE"/>
              </w:rPr>
              <w:t>Teilschuldverschreibung</w:t>
            </w:r>
            <w:r w:rsidRPr="00FB6952">
              <w:rPr>
                <w:rFonts w:ascii="Arial" w:hAnsi="Arial" w:cs="Arial"/>
                <w:sz w:val="16"/>
                <w:szCs w:val="16"/>
                <w:lang w:val="de-DE"/>
              </w:rPr>
              <w:t>" und alle Teilschuldverschreibungen zusammen die „</w:t>
            </w:r>
            <w:r w:rsidRPr="007321F9">
              <w:rPr>
                <w:rFonts w:ascii="Arial" w:hAnsi="Arial" w:cs="Arial"/>
                <w:b/>
                <w:sz w:val="16"/>
                <w:szCs w:val="16"/>
                <w:lang w:val="de-DE"/>
              </w:rPr>
              <w:t>Wandelschuldverschreibungen</w:t>
            </w:r>
            <w:r w:rsidRPr="00FB6952">
              <w:rPr>
                <w:rFonts w:ascii="Arial" w:hAnsi="Arial" w:cs="Arial"/>
                <w:sz w:val="16"/>
                <w:szCs w:val="16"/>
                <w:lang w:val="de-DE"/>
              </w:rPr>
              <w:t>" oder die „</w:t>
            </w:r>
            <w:r w:rsidRPr="007321F9">
              <w:rPr>
                <w:rFonts w:ascii="Arial" w:hAnsi="Arial" w:cs="Arial"/>
                <w:b/>
                <w:sz w:val="16"/>
                <w:szCs w:val="16"/>
                <w:lang w:val="de-DE"/>
              </w:rPr>
              <w:t>Wandelanleihe</w:t>
            </w:r>
            <w:r w:rsidRPr="00FB6952">
              <w:rPr>
                <w:rFonts w:ascii="Arial" w:hAnsi="Arial" w:cs="Arial"/>
                <w:sz w:val="16"/>
                <w:szCs w:val="16"/>
                <w:lang w:val="de-DE"/>
              </w:rPr>
              <w:t xml:space="preserve">“). Das Produkt kann in bestimmten, in den Wandelanleihebedingungen festgelegten Zeiträumen von Ihnen in eine bestimmte Anzahl von auf den </w:t>
            </w:r>
            <w:r w:rsidR="009D74D1">
              <w:rPr>
                <w:rFonts w:ascii="Arial" w:hAnsi="Arial" w:cs="Arial"/>
                <w:sz w:val="16"/>
                <w:szCs w:val="16"/>
                <w:lang w:val="de-DE"/>
              </w:rPr>
              <w:t>Namen</w:t>
            </w:r>
            <w:r w:rsidRPr="00FB6952">
              <w:rPr>
                <w:rFonts w:ascii="Arial" w:hAnsi="Arial" w:cs="Arial"/>
                <w:sz w:val="16"/>
                <w:szCs w:val="16"/>
                <w:lang w:val="de-DE"/>
              </w:rPr>
              <w:t xml:space="preserve"> lautenden Stückaktien der Emittentin („</w:t>
            </w:r>
            <w:r w:rsidRPr="007321F9">
              <w:rPr>
                <w:rFonts w:ascii="Arial" w:hAnsi="Arial" w:cs="Arial"/>
                <w:b/>
                <w:sz w:val="16"/>
                <w:szCs w:val="16"/>
                <w:lang w:val="de-DE"/>
              </w:rPr>
              <w:t>Aktien</w:t>
            </w:r>
            <w:r w:rsidRPr="00FB6952">
              <w:rPr>
                <w:rFonts w:ascii="Arial" w:hAnsi="Arial" w:cs="Arial"/>
                <w:sz w:val="16"/>
                <w:szCs w:val="16"/>
                <w:lang w:val="de-DE"/>
              </w:rPr>
              <w:t>") gewandelt werden.</w:t>
            </w:r>
          </w:p>
          <w:p w14:paraId="4CDD9F76" w14:textId="77777777" w:rsidR="007321F9" w:rsidRDefault="007321F9" w:rsidP="007F545B">
            <w:pPr>
              <w:jc w:val="both"/>
              <w:rPr>
                <w:rFonts w:ascii="Arial" w:hAnsi="Arial" w:cs="Arial"/>
                <w:b/>
                <w:sz w:val="16"/>
                <w:szCs w:val="16"/>
                <w:lang w:val="de-DE"/>
              </w:rPr>
            </w:pPr>
          </w:p>
          <w:p w14:paraId="68A64681" w14:textId="2D3106C6" w:rsidR="007F545B" w:rsidRDefault="007F545B" w:rsidP="007F545B">
            <w:pPr>
              <w:jc w:val="both"/>
              <w:rPr>
                <w:rFonts w:ascii="Arial" w:hAnsi="Arial" w:cs="Arial"/>
                <w:b/>
                <w:sz w:val="16"/>
                <w:szCs w:val="16"/>
                <w:lang w:val="de-DE"/>
              </w:rPr>
            </w:pPr>
            <w:r>
              <w:rPr>
                <w:rFonts w:ascii="Arial" w:hAnsi="Arial" w:cs="Arial"/>
                <w:b/>
                <w:sz w:val="16"/>
                <w:szCs w:val="16"/>
                <w:lang w:val="de-DE"/>
              </w:rPr>
              <w:t>Laufzeit:</w:t>
            </w:r>
          </w:p>
          <w:p w14:paraId="79C769A6" w14:textId="34B3F241" w:rsidR="00FB6952" w:rsidRPr="00FB6952" w:rsidRDefault="00FB6952" w:rsidP="00FB6952">
            <w:pPr>
              <w:jc w:val="both"/>
              <w:rPr>
                <w:rFonts w:ascii="Arial" w:hAnsi="Arial" w:cs="Arial"/>
                <w:sz w:val="16"/>
                <w:szCs w:val="16"/>
                <w:lang w:val="de-DE"/>
              </w:rPr>
            </w:pPr>
            <w:r w:rsidRPr="00FB6952">
              <w:rPr>
                <w:rFonts w:ascii="Arial" w:hAnsi="Arial" w:cs="Arial"/>
                <w:sz w:val="16"/>
                <w:szCs w:val="16"/>
                <w:lang w:val="de-DE"/>
              </w:rPr>
              <w:t xml:space="preserve">Die Wandelanleihe hat eine Laufzeit bis zum </w:t>
            </w:r>
            <w:r w:rsidR="007321F9" w:rsidRPr="007321F9">
              <w:rPr>
                <w:rFonts w:ascii="Arial" w:hAnsi="Arial" w:cs="Arial"/>
                <w:sz w:val="16"/>
                <w:szCs w:val="16"/>
                <w:lang w:val="de-DE"/>
              </w:rPr>
              <w:t xml:space="preserve">14. September 2025 </w:t>
            </w:r>
            <w:r w:rsidRPr="00FB6952">
              <w:rPr>
                <w:rFonts w:ascii="Arial" w:hAnsi="Arial" w:cs="Arial"/>
                <w:sz w:val="16"/>
                <w:szCs w:val="16"/>
                <w:lang w:val="de-DE"/>
              </w:rPr>
              <w:t>(einschließlich).</w:t>
            </w:r>
          </w:p>
          <w:p w14:paraId="799AE16C" w14:textId="77777777" w:rsidR="00FB6952" w:rsidRDefault="00FB6952" w:rsidP="00FB6952">
            <w:pPr>
              <w:jc w:val="both"/>
              <w:rPr>
                <w:rFonts w:ascii="Arial" w:hAnsi="Arial" w:cs="Arial"/>
                <w:sz w:val="16"/>
                <w:szCs w:val="16"/>
                <w:lang w:val="de-DE"/>
              </w:rPr>
            </w:pPr>
            <w:r w:rsidRPr="00FB6952">
              <w:rPr>
                <w:rFonts w:ascii="Arial" w:hAnsi="Arial" w:cs="Arial"/>
                <w:sz w:val="16"/>
                <w:szCs w:val="16"/>
                <w:lang w:val="de-DE"/>
              </w:rPr>
              <w:t>Ein Recht zur ordentlichen Kündigung steht weder der Emittentin noch den Anlegern zu. Das Recht zur außerordentlichen Kündigung bleibt hiervon unberührt.</w:t>
            </w:r>
          </w:p>
          <w:p w14:paraId="1A100B2F" w14:textId="77777777" w:rsidR="007321F9" w:rsidRDefault="007321F9" w:rsidP="00FB6952">
            <w:pPr>
              <w:jc w:val="both"/>
              <w:rPr>
                <w:rFonts w:ascii="Arial" w:hAnsi="Arial" w:cs="Arial"/>
                <w:b/>
                <w:sz w:val="16"/>
                <w:szCs w:val="16"/>
                <w:lang w:val="de-DE"/>
              </w:rPr>
            </w:pPr>
          </w:p>
          <w:p w14:paraId="62C5C569" w14:textId="6D3B6148" w:rsidR="00BE5338" w:rsidRPr="00466032" w:rsidRDefault="00BE5338" w:rsidP="00FB6952">
            <w:pPr>
              <w:jc w:val="both"/>
              <w:rPr>
                <w:rFonts w:ascii="Arial" w:hAnsi="Arial" w:cs="Arial"/>
                <w:b/>
                <w:sz w:val="16"/>
                <w:szCs w:val="16"/>
                <w:lang w:val="de-DE"/>
              </w:rPr>
            </w:pPr>
            <w:r w:rsidRPr="00466032">
              <w:rPr>
                <w:rFonts w:ascii="Arial" w:hAnsi="Arial" w:cs="Arial"/>
                <w:b/>
                <w:sz w:val="16"/>
                <w:szCs w:val="16"/>
                <w:lang w:val="de-DE"/>
              </w:rPr>
              <w:t>Ziel:</w:t>
            </w:r>
          </w:p>
          <w:p w14:paraId="42E6E632" w14:textId="7CEDFB66" w:rsidR="00FB6952" w:rsidRPr="00FB6952" w:rsidRDefault="00FB6952" w:rsidP="00FB6952">
            <w:pPr>
              <w:jc w:val="both"/>
              <w:rPr>
                <w:rFonts w:ascii="Arial" w:hAnsi="Arial" w:cs="Arial"/>
                <w:sz w:val="16"/>
                <w:szCs w:val="16"/>
                <w:lang w:val="de-DE"/>
              </w:rPr>
            </w:pPr>
            <w:r w:rsidRPr="00FB6952">
              <w:rPr>
                <w:rFonts w:ascii="Arial" w:hAnsi="Arial" w:cs="Arial"/>
                <w:sz w:val="16"/>
                <w:szCs w:val="16"/>
                <w:lang w:val="de-DE"/>
              </w:rPr>
              <w:t xml:space="preserve">Ziel dieses Produkts ist es, Ihnen einen bestimmten Anspruch zu vorab festgelegten Bedingungen zu gewähren. Die </w:t>
            </w:r>
            <w:r w:rsidR="007321F9" w:rsidRPr="007321F9">
              <w:rPr>
                <w:rFonts w:ascii="Arial" w:hAnsi="Arial" w:cs="Arial"/>
                <w:sz w:val="16"/>
                <w:szCs w:val="16"/>
                <w:lang w:val="de-DE"/>
              </w:rPr>
              <w:t>Laufzeit der Wandelanleihe beginnt am 15. September 2023 (der „</w:t>
            </w:r>
            <w:r w:rsidR="007321F9" w:rsidRPr="007321F9">
              <w:rPr>
                <w:rFonts w:ascii="Arial" w:hAnsi="Arial" w:cs="Arial"/>
                <w:b/>
                <w:sz w:val="16"/>
                <w:szCs w:val="16"/>
                <w:lang w:val="de-DE"/>
              </w:rPr>
              <w:t>Laufzeitbeginn</w:t>
            </w:r>
            <w:r w:rsidR="007321F9" w:rsidRPr="007321F9">
              <w:rPr>
                <w:rFonts w:ascii="Arial" w:hAnsi="Arial" w:cs="Arial"/>
                <w:sz w:val="16"/>
                <w:szCs w:val="16"/>
                <w:lang w:val="de-DE"/>
              </w:rPr>
              <w:t>") und endet mit Ablauf des 14. September 2025 (das „</w:t>
            </w:r>
            <w:r w:rsidR="007321F9" w:rsidRPr="007321F9">
              <w:rPr>
                <w:rFonts w:ascii="Arial" w:hAnsi="Arial" w:cs="Arial"/>
                <w:b/>
                <w:sz w:val="16"/>
                <w:szCs w:val="16"/>
                <w:lang w:val="de-DE"/>
              </w:rPr>
              <w:t>Laufzeitende</w:t>
            </w:r>
            <w:r w:rsidR="007321F9" w:rsidRPr="007321F9">
              <w:rPr>
                <w:rFonts w:ascii="Arial" w:hAnsi="Arial" w:cs="Arial"/>
                <w:sz w:val="16"/>
                <w:szCs w:val="16"/>
                <w:lang w:val="de-DE"/>
              </w:rPr>
              <w:t>" und der Zeitraum vom Laufzeitbeginn bis zum Laufzeitende die „</w:t>
            </w:r>
            <w:r w:rsidR="007321F9" w:rsidRPr="007321F9">
              <w:rPr>
                <w:rFonts w:ascii="Arial" w:hAnsi="Arial" w:cs="Arial"/>
                <w:b/>
                <w:sz w:val="16"/>
                <w:szCs w:val="16"/>
                <w:lang w:val="de-DE"/>
              </w:rPr>
              <w:t>Laufzei</w:t>
            </w:r>
            <w:r w:rsidR="007321F9" w:rsidRPr="007321F9">
              <w:rPr>
                <w:rFonts w:ascii="Arial" w:hAnsi="Arial" w:cs="Arial"/>
                <w:sz w:val="16"/>
                <w:szCs w:val="16"/>
                <w:lang w:val="de-DE"/>
              </w:rPr>
              <w:t>t")</w:t>
            </w:r>
            <w:r w:rsidRPr="00FB6952">
              <w:rPr>
                <w:rFonts w:ascii="Arial" w:hAnsi="Arial" w:cs="Arial"/>
                <w:sz w:val="16"/>
                <w:szCs w:val="16"/>
                <w:lang w:val="de-DE"/>
              </w:rPr>
              <w:t xml:space="preserve">. Die Emittentin verpflichtet sich, die Teilschuldverschreibungen am </w:t>
            </w:r>
            <w:r w:rsidR="007321F9">
              <w:rPr>
                <w:rFonts w:ascii="Arial" w:hAnsi="Arial" w:cs="Arial"/>
                <w:sz w:val="16"/>
                <w:szCs w:val="16"/>
                <w:lang w:val="de-DE"/>
              </w:rPr>
              <w:t>15. September 2025</w:t>
            </w:r>
            <w:r w:rsidRPr="00FB6952">
              <w:rPr>
                <w:rFonts w:ascii="Arial" w:hAnsi="Arial" w:cs="Arial"/>
                <w:sz w:val="16"/>
                <w:szCs w:val="16"/>
                <w:lang w:val="de-DE"/>
              </w:rPr>
              <w:t xml:space="preserve"> (der „</w:t>
            </w:r>
            <w:r w:rsidRPr="009D74D1">
              <w:rPr>
                <w:rFonts w:ascii="Arial" w:hAnsi="Arial" w:cs="Arial"/>
                <w:b/>
                <w:sz w:val="16"/>
                <w:szCs w:val="16"/>
                <w:lang w:val="de-DE"/>
              </w:rPr>
              <w:t>Fälligkeitstag</w:t>
            </w:r>
            <w:r w:rsidRPr="00FB6952">
              <w:rPr>
                <w:rFonts w:ascii="Arial" w:hAnsi="Arial" w:cs="Arial"/>
                <w:sz w:val="16"/>
                <w:szCs w:val="16"/>
                <w:lang w:val="de-DE"/>
              </w:rPr>
              <w:t>“) zum Nennbetrag zurückzuzahlen, soweit die Teilschuldverschreibungen nicht zuvor bereits zurückbezahlt oder gewandelt wurden.</w:t>
            </w:r>
          </w:p>
          <w:p w14:paraId="2F19DD9D" w14:textId="3F27C7F9" w:rsidR="00FB6952" w:rsidRPr="00FB6952" w:rsidRDefault="00FB6952" w:rsidP="00FB6952">
            <w:pPr>
              <w:jc w:val="both"/>
              <w:rPr>
                <w:rFonts w:ascii="Arial" w:hAnsi="Arial" w:cs="Arial"/>
                <w:sz w:val="16"/>
                <w:szCs w:val="16"/>
                <w:lang w:val="de-DE"/>
              </w:rPr>
            </w:pPr>
            <w:r w:rsidRPr="00FB6952">
              <w:rPr>
                <w:rFonts w:ascii="Arial" w:hAnsi="Arial" w:cs="Arial"/>
                <w:sz w:val="16"/>
                <w:szCs w:val="16"/>
                <w:lang w:val="de-DE"/>
              </w:rPr>
              <w:t xml:space="preserve">Der Ausgabebetrag je Teilschuldverschreibung beträgt 100 % des Nennbetrages und damit EUR </w:t>
            </w:r>
            <w:r w:rsidR="007321F9">
              <w:rPr>
                <w:rFonts w:ascii="Arial" w:hAnsi="Arial" w:cs="Arial"/>
                <w:sz w:val="16"/>
                <w:szCs w:val="16"/>
                <w:lang w:val="de-DE"/>
              </w:rPr>
              <w:t>5,20</w:t>
            </w:r>
            <w:r w:rsidRPr="00FB6952">
              <w:rPr>
                <w:rFonts w:ascii="Arial" w:hAnsi="Arial" w:cs="Arial"/>
                <w:sz w:val="16"/>
                <w:szCs w:val="16"/>
                <w:lang w:val="de-DE"/>
              </w:rPr>
              <w:t xml:space="preserve"> (der „</w:t>
            </w:r>
            <w:r w:rsidRPr="007321F9">
              <w:rPr>
                <w:rFonts w:ascii="Arial" w:hAnsi="Arial" w:cs="Arial"/>
                <w:b/>
                <w:sz w:val="16"/>
                <w:szCs w:val="16"/>
                <w:lang w:val="de-DE"/>
              </w:rPr>
              <w:t>Ausgabebetrag</w:t>
            </w:r>
            <w:r w:rsidRPr="00FB6952">
              <w:rPr>
                <w:rFonts w:ascii="Arial" w:hAnsi="Arial" w:cs="Arial"/>
                <w:sz w:val="16"/>
                <w:szCs w:val="16"/>
                <w:lang w:val="de-DE"/>
              </w:rPr>
              <w:t>").</w:t>
            </w:r>
          </w:p>
          <w:p w14:paraId="0E579486" w14:textId="798CFB6B" w:rsidR="00FB6952" w:rsidRDefault="007321F9" w:rsidP="00FB6952">
            <w:pPr>
              <w:jc w:val="both"/>
              <w:rPr>
                <w:rFonts w:ascii="Arial" w:hAnsi="Arial" w:cs="Arial"/>
                <w:sz w:val="16"/>
                <w:szCs w:val="16"/>
                <w:lang w:val="de-DE"/>
              </w:rPr>
            </w:pPr>
            <w:r w:rsidRPr="007321F9">
              <w:rPr>
                <w:rFonts w:ascii="Arial" w:hAnsi="Arial" w:cs="Arial"/>
                <w:sz w:val="16"/>
                <w:szCs w:val="16"/>
                <w:lang w:val="de-DE"/>
              </w:rPr>
              <w:t xml:space="preserve">Jede Teilschuldverschreibung wird in Höhe ihres Nennbetrages ab dem Einzahlungstag bis zum Laufzeitende mit 2 % p.a. verzinst, sofern sie nicht vorher zurückgezahlt oder in Aktien der </w:t>
            </w:r>
            <w:r w:rsidR="009D74D1">
              <w:rPr>
                <w:rFonts w:ascii="Arial" w:hAnsi="Arial" w:cs="Arial"/>
                <w:sz w:val="16"/>
                <w:szCs w:val="16"/>
                <w:lang w:val="de-DE"/>
              </w:rPr>
              <w:t>Emittentin</w:t>
            </w:r>
            <w:r w:rsidRPr="007321F9">
              <w:rPr>
                <w:rFonts w:ascii="Arial" w:hAnsi="Arial" w:cs="Arial"/>
                <w:sz w:val="16"/>
                <w:szCs w:val="16"/>
                <w:lang w:val="de-DE"/>
              </w:rPr>
              <w:t xml:space="preserve"> gewandelt worden ist. Die Zinsen sind jährlich jeweils nachträglich am 15. September eines Jahres zahlbar („</w:t>
            </w:r>
            <w:r w:rsidRPr="007321F9">
              <w:rPr>
                <w:rFonts w:ascii="Arial" w:hAnsi="Arial" w:cs="Arial"/>
                <w:b/>
                <w:sz w:val="16"/>
                <w:szCs w:val="16"/>
                <w:lang w:val="de-DE"/>
              </w:rPr>
              <w:t>Zinszahlungstag</w:t>
            </w:r>
            <w:r w:rsidRPr="007321F9">
              <w:rPr>
                <w:rFonts w:ascii="Arial" w:hAnsi="Arial" w:cs="Arial"/>
                <w:sz w:val="16"/>
                <w:szCs w:val="16"/>
                <w:lang w:val="de-DE"/>
              </w:rPr>
              <w:t>“). Die Verzinsung der Anleihe endet im Falle einer vorzeitigen Rückzahlung mit Ablauf des Tages, der dem Fälligkeitstag der Rückzahlung vorausgeht, im Falle der Ausübung des Wandlungsrechts mit Ausübung der Wandlungserklärung, im Falle einer Zwangswandlung mit Ausübung der Zwangswandlungserklärung. „</w:t>
            </w:r>
            <w:r w:rsidRPr="007321F9">
              <w:rPr>
                <w:rFonts w:ascii="Arial" w:hAnsi="Arial" w:cs="Arial"/>
                <w:b/>
                <w:sz w:val="16"/>
                <w:szCs w:val="16"/>
                <w:lang w:val="de-DE"/>
              </w:rPr>
              <w:t>Einzahlungstag</w:t>
            </w:r>
            <w:r w:rsidRPr="007321F9">
              <w:rPr>
                <w:rFonts w:ascii="Arial" w:hAnsi="Arial" w:cs="Arial"/>
                <w:sz w:val="16"/>
                <w:szCs w:val="16"/>
                <w:lang w:val="de-DE"/>
              </w:rPr>
              <w:t xml:space="preserve">" ist der Tag der Gutschrift der Zeichnungssumme auf dem in der Zeichnungserklärung angegebenen Konto der </w:t>
            </w:r>
            <w:r w:rsidR="009D74D1">
              <w:rPr>
                <w:rFonts w:ascii="Arial" w:hAnsi="Arial" w:cs="Arial"/>
                <w:sz w:val="16"/>
                <w:szCs w:val="16"/>
                <w:lang w:val="de-DE"/>
              </w:rPr>
              <w:t>Emittentin</w:t>
            </w:r>
            <w:r w:rsidR="00FB6952" w:rsidRPr="00FB6952">
              <w:rPr>
                <w:rFonts w:ascii="Arial" w:hAnsi="Arial" w:cs="Arial"/>
                <w:sz w:val="16"/>
                <w:szCs w:val="16"/>
                <w:lang w:val="de-DE"/>
              </w:rPr>
              <w:t>.</w:t>
            </w:r>
            <w:r>
              <w:rPr>
                <w:rFonts w:ascii="Arial" w:hAnsi="Arial" w:cs="Arial"/>
                <w:sz w:val="16"/>
                <w:szCs w:val="16"/>
                <w:lang w:val="de-DE"/>
              </w:rPr>
              <w:t xml:space="preserve"> </w:t>
            </w:r>
            <w:r w:rsidRPr="007321F9">
              <w:rPr>
                <w:rFonts w:ascii="Arial" w:hAnsi="Arial" w:cs="Arial"/>
                <w:sz w:val="16"/>
                <w:szCs w:val="16"/>
                <w:lang w:val="de-DE"/>
              </w:rPr>
              <w:t>Sind Zinsen für einen Zeitraum von weniger als einem Jahr zu berechnen (ein „</w:t>
            </w:r>
            <w:r w:rsidRPr="007321F9">
              <w:rPr>
                <w:rFonts w:ascii="Arial" w:hAnsi="Arial" w:cs="Arial"/>
                <w:b/>
                <w:sz w:val="16"/>
                <w:szCs w:val="16"/>
                <w:lang w:val="de-DE"/>
              </w:rPr>
              <w:t>Zinsberechnungszeitraum</w:t>
            </w:r>
            <w:r w:rsidRPr="007321F9">
              <w:rPr>
                <w:rFonts w:ascii="Arial" w:hAnsi="Arial" w:cs="Arial"/>
                <w:sz w:val="16"/>
                <w:szCs w:val="16"/>
                <w:lang w:val="de-DE"/>
              </w:rPr>
              <w:t>“), so werden diese taggenau, d.h. nach der Methode „Act./Act.“ (der sog. ICMA-Methode), berechnet. Dabei wird die tatsächliche Anzahl von Tagen im Zinsberechnungszeitraum durch die tatsächliche Anzahl von Tagen im jeweiligen Zinsjahr geteilt.</w:t>
            </w:r>
            <w:r>
              <w:rPr>
                <w:rFonts w:ascii="Arial" w:hAnsi="Arial" w:cs="Arial"/>
                <w:sz w:val="16"/>
                <w:szCs w:val="16"/>
                <w:lang w:val="de-DE"/>
              </w:rPr>
              <w:t xml:space="preserve"> Fällt </w:t>
            </w:r>
            <w:r w:rsidRPr="007321F9">
              <w:rPr>
                <w:rFonts w:ascii="Arial" w:hAnsi="Arial" w:cs="Arial"/>
                <w:sz w:val="16"/>
                <w:szCs w:val="16"/>
                <w:lang w:val="de-DE"/>
              </w:rPr>
              <w:t>ein Zinszahlungstag auf einen Tag, der kein Bankarbeitstag ist, so ist Zinszahlung</w:t>
            </w:r>
            <w:r>
              <w:rPr>
                <w:rFonts w:ascii="Arial" w:hAnsi="Arial" w:cs="Arial"/>
                <w:sz w:val="16"/>
                <w:szCs w:val="16"/>
                <w:lang w:val="de-DE"/>
              </w:rPr>
              <w:t>s</w:t>
            </w:r>
            <w:r w:rsidRPr="007321F9">
              <w:rPr>
                <w:rFonts w:ascii="Arial" w:hAnsi="Arial" w:cs="Arial"/>
                <w:sz w:val="16"/>
                <w:szCs w:val="16"/>
                <w:lang w:val="de-DE"/>
              </w:rPr>
              <w:t xml:space="preserve">tag der nächstfolgende Bankarbeitstag. </w:t>
            </w:r>
            <w:r w:rsidRPr="007321F9">
              <w:rPr>
                <w:rFonts w:ascii="Arial" w:hAnsi="Arial" w:cs="Arial"/>
                <w:b/>
                <w:sz w:val="16"/>
                <w:szCs w:val="16"/>
                <w:lang w:val="de-DE"/>
              </w:rPr>
              <w:t>Bankarbeitstag</w:t>
            </w:r>
            <w:r w:rsidRPr="007321F9">
              <w:rPr>
                <w:rFonts w:ascii="Arial" w:hAnsi="Arial" w:cs="Arial"/>
                <w:sz w:val="16"/>
                <w:szCs w:val="16"/>
                <w:lang w:val="de-DE"/>
              </w:rPr>
              <w:t xml:space="preserve"> ist jeder Tag, an dem die Clearstream Banking AG und die Geschäftsbanken in Frankfurt am Main Zahlungen abwickeln</w:t>
            </w:r>
            <w:r>
              <w:rPr>
                <w:rFonts w:ascii="Arial" w:hAnsi="Arial" w:cs="Arial"/>
                <w:sz w:val="16"/>
                <w:szCs w:val="16"/>
                <w:lang w:val="de-DE"/>
              </w:rPr>
              <w:t>.</w:t>
            </w:r>
          </w:p>
          <w:p w14:paraId="32B8EED9" w14:textId="3155B6A9" w:rsidR="007321F9" w:rsidRDefault="007321F9" w:rsidP="00FB6952">
            <w:pPr>
              <w:jc w:val="both"/>
              <w:rPr>
                <w:rFonts w:ascii="Arial" w:hAnsi="Arial" w:cs="Arial"/>
                <w:sz w:val="16"/>
                <w:szCs w:val="16"/>
                <w:lang w:val="de-DE"/>
              </w:rPr>
            </w:pPr>
            <w:r w:rsidRPr="007321F9">
              <w:rPr>
                <w:rFonts w:ascii="Arial" w:hAnsi="Arial" w:cs="Arial"/>
                <w:sz w:val="16"/>
                <w:szCs w:val="16"/>
                <w:lang w:val="de-DE"/>
              </w:rPr>
              <w:t xml:space="preserve">Jeder </w:t>
            </w:r>
            <w:r w:rsidR="009D74D1">
              <w:rPr>
                <w:rFonts w:ascii="Arial" w:hAnsi="Arial" w:cs="Arial"/>
                <w:sz w:val="16"/>
                <w:szCs w:val="16"/>
                <w:lang w:val="de-DE"/>
              </w:rPr>
              <w:t>Anleger</w:t>
            </w:r>
            <w:r w:rsidRPr="007321F9">
              <w:rPr>
                <w:rFonts w:ascii="Arial" w:hAnsi="Arial" w:cs="Arial"/>
                <w:sz w:val="16"/>
                <w:szCs w:val="16"/>
                <w:lang w:val="de-DE"/>
              </w:rPr>
              <w:t xml:space="preserve"> hat nach Maßgabe dieser Wandelanleihebedingungen das unentziehbare Recht (das </w:t>
            </w:r>
            <w:r>
              <w:rPr>
                <w:rFonts w:ascii="Arial" w:hAnsi="Arial" w:cs="Arial"/>
                <w:sz w:val="16"/>
                <w:szCs w:val="16"/>
                <w:lang w:val="de-DE"/>
              </w:rPr>
              <w:t>„</w:t>
            </w:r>
            <w:r w:rsidRPr="007321F9">
              <w:rPr>
                <w:rFonts w:ascii="Arial" w:hAnsi="Arial" w:cs="Arial"/>
                <w:b/>
                <w:sz w:val="16"/>
                <w:szCs w:val="16"/>
                <w:lang w:val="de-DE"/>
              </w:rPr>
              <w:t>Wandlungsrecht</w:t>
            </w:r>
            <w:r w:rsidRPr="007321F9">
              <w:rPr>
                <w:rFonts w:ascii="Arial" w:hAnsi="Arial" w:cs="Arial"/>
                <w:sz w:val="16"/>
                <w:szCs w:val="16"/>
                <w:lang w:val="de-DE"/>
              </w:rPr>
              <w:t xml:space="preserve">"), jeweils eine Teilschuldverschreibung im Nennbetrag von jeweils EUR 5,20 ohne Zuzahlung in 1 (eine) auf den Namen lautende Stückaktie der </w:t>
            </w:r>
            <w:r w:rsidR="009D74D1">
              <w:rPr>
                <w:rFonts w:ascii="Arial" w:hAnsi="Arial" w:cs="Arial"/>
                <w:sz w:val="16"/>
                <w:szCs w:val="16"/>
                <w:lang w:val="de-DE"/>
              </w:rPr>
              <w:t>Emittentin</w:t>
            </w:r>
            <w:r w:rsidRPr="007321F9">
              <w:rPr>
                <w:rFonts w:ascii="Arial" w:hAnsi="Arial" w:cs="Arial"/>
                <w:sz w:val="16"/>
                <w:szCs w:val="16"/>
                <w:lang w:val="de-DE"/>
              </w:rPr>
              <w:t xml:space="preserve"> mit einem rechnerischen Anteil am Grundkapital von je EUR 1,- umzutauschen. Die nur teilweise Ausübung des Wandlungsrechts von Teilschuldverschreibungen ist ausgeschlossen. Das Wandlungsverhältnis bleibt auch bei Kapitalmaßnahmen der </w:t>
            </w:r>
            <w:r w:rsidR="009D74D1">
              <w:rPr>
                <w:rFonts w:ascii="Arial" w:hAnsi="Arial" w:cs="Arial"/>
                <w:sz w:val="16"/>
                <w:szCs w:val="16"/>
                <w:lang w:val="de-DE"/>
              </w:rPr>
              <w:t>Emittentin</w:t>
            </w:r>
            <w:r w:rsidRPr="007321F9">
              <w:rPr>
                <w:rFonts w:ascii="Arial" w:hAnsi="Arial" w:cs="Arial"/>
                <w:sz w:val="16"/>
                <w:szCs w:val="16"/>
                <w:lang w:val="de-DE"/>
              </w:rPr>
              <w:t xml:space="preserve"> während der Laufzeit der Wandelanleihe unverändert</w:t>
            </w:r>
            <w:r>
              <w:rPr>
                <w:rFonts w:ascii="Arial" w:hAnsi="Arial" w:cs="Arial"/>
                <w:sz w:val="16"/>
                <w:szCs w:val="16"/>
                <w:lang w:val="de-DE"/>
              </w:rPr>
              <w:t xml:space="preserve">. </w:t>
            </w:r>
            <w:r w:rsidRPr="007321F9">
              <w:rPr>
                <w:rFonts w:ascii="Arial" w:hAnsi="Arial" w:cs="Arial"/>
                <w:sz w:val="16"/>
                <w:szCs w:val="16"/>
                <w:lang w:val="de-DE"/>
              </w:rPr>
              <w:t xml:space="preserve">Mit Wirksamwerden der Wandlungserklärung erlischt das Recht des </w:t>
            </w:r>
            <w:r w:rsidR="009D74D1">
              <w:rPr>
                <w:rFonts w:ascii="Arial" w:hAnsi="Arial" w:cs="Arial"/>
                <w:sz w:val="16"/>
                <w:szCs w:val="16"/>
                <w:lang w:val="de-DE"/>
              </w:rPr>
              <w:t>Anleger</w:t>
            </w:r>
            <w:r w:rsidRPr="007321F9">
              <w:rPr>
                <w:rFonts w:ascii="Arial" w:hAnsi="Arial" w:cs="Arial"/>
                <w:sz w:val="16"/>
                <w:szCs w:val="16"/>
                <w:lang w:val="de-DE"/>
              </w:rPr>
              <w:t xml:space="preserve">s auf Rückzahlung der Teilschuldverschreibungen; anstelle des Rechts auf Rückzahlung und im Tausch für dieses Recht ist die </w:t>
            </w:r>
            <w:r w:rsidR="009D74D1">
              <w:rPr>
                <w:rFonts w:ascii="Arial" w:hAnsi="Arial" w:cs="Arial"/>
                <w:sz w:val="16"/>
                <w:szCs w:val="16"/>
                <w:lang w:val="de-DE"/>
              </w:rPr>
              <w:t>Emittentin</w:t>
            </w:r>
            <w:r w:rsidRPr="007321F9">
              <w:rPr>
                <w:rFonts w:ascii="Arial" w:hAnsi="Arial" w:cs="Arial"/>
                <w:sz w:val="16"/>
                <w:szCs w:val="16"/>
                <w:lang w:val="de-DE"/>
              </w:rPr>
              <w:t xml:space="preserve"> nach Maßgabe d</w:t>
            </w:r>
            <w:r>
              <w:rPr>
                <w:rFonts w:ascii="Arial" w:hAnsi="Arial" w:cs="Arial"/>
                <w:sz w:val="16"/>
                <w:szCs w:val="16"/>
                <w:lang w:val="de-DE"/>
              </w:rPr>
              <w:t>er</w:t>
            </w:r>
            <w:r w:rsidRPr="007321F9">
              <w:rPr>
                <w:rFonts w:ascii="Arial" w:hAnsi="Arial" w:cs="Arial"/>
                <w:sz w:val="16"/>
                <w:szCs w:val="16"/>
                <w:lang w:val="de-DE"/>
              </w:rPr>
              <w:t xml:space="preserve"> Wandelanleihebedingungen zur Lieferung von Aktien verpflichtet</w:t>
            </w:r>
            <w:r>
              <w:rPr>
                <w:rFonts w:ascii="Arial" w:hAnsi="Arial" w:cs="Arial"/>
                <w:sz w:val="16"/>
                <w:szCs w:val="16"/>
                <w:lang w:val="de-DE"/>
              </w:rPr>
              <w:t>.</w:t>
            </w:r>
          </w:p>
          <w:p w14:paraId="1664B518" w14:textId="1184E10B" w:rsidR="007321F9" w:rsidRPr="007321F9" w:rsidRDefault="007321F9" w:rsidP="007321F9">
            <w:pPr>
              <w:jc w:val="both"/>
              <w:rPr>
                <w:rFonts w:ascii="Arial" w:hAnsi="Arial" w:cs="Arial"/>
                <w:sz w:val="16"/>
                <w:szCs w:val="16"/>
                <w:lang w:val="de-DE"/>
              </w:rPr>
            </w:pPr>
            <w:r w:rsidRPr="007321F9">
              <w:rPr>
                <w:rFonts w:ascii="Arial" w:hAnsi="Arial" w:cs="Arial"/>
                <w:sz w:val="16"/>
                <w:szCs w:val="16"/>
                <w:lang w:val="de-DE"/>
              </w:rPr>
              <w:t xml:space="preserve">Die aus der Ausübung des Wandlungsrechts hervorgehenden Aktien nehmen vom Beginn des Geschäftsjahres der </w:t>
            </w:r>
            <w:r w:rsidR="009D74D1">
              <w:rPr>
                <w:rFonts w:ascii="Arial" w:hAnsi="Arial" w:cs="Arial"/>
                <w:sz w:val="16"/>
                <w:szCs w:val="16"/>
                <w:lang w:val="de-DE"/>
              </w:rPr>
              <w:t>Emittentin</w:t>
            </w:r>
            <w:r w:rsidRPr="007321F9">
              <w:rPr>
                <w:rFonts w:ascii="Arial" w:hAnsi="Arial" w:cs="Arial"/>
                <w:sz w:val="16"/>
                <w:szCs w:val="16"/>
                <w:lang w:val="de-DE"/>
              </w:rPr>
              <w:t>, für das zum Zeitpunkt der Ausübung des Wandlungsrechts noch kein Beschluss der Hauptversammlung über die Verwendung des Bilanzgewinns gefasst worden ist, am Gewinn teil.</w:t>
            </w:r>
          </w:p>
          <w:p w14:paraId="773069B2" w14:textId="701850CB" w:rsidR="009D74D1" w:rsidRDefault="007321F9" w:rsidP="007321F9">
            <w:pPr>
              <w:jc w:val="both"/>
              <w:rPr>
                <w:rFonts w:ascii="Arial" w:hAnsi="Arial" w:cs="Arial"/>
                <w:sz w:val="16"/>
                <w:szCs w:val="16"/>
                <w:lang w:val="de-DE"/>
              </w:rPr>
            </w:pPr>
            <w:r w:rsidRPr="007321F9">
              <w:rPr>
                <w:rFonts w:ascii="Arial" w:hAnsi="Arial" w:cs="Arial"/>
                <w:sz w:val="16"/>
                <w:szCs w:val="16"/>
                <w:lang w:val="de-DE"/>
              </w:rPr>
              <w:t>Das Wandlungsrecht kann frühestens 2 Monate nach Zeichnung und Zahlung des Zeichnungsbetrags (Gutschrift der Zeichnungssumme auf dem in der Zeichnungserkl</w:t>
            </w:r>
            <w:r>
              <w:rPr>
                <w:rFonts w:ascii="Arial" w:hAnsi="Arial" w:cs="Arial"/>
                <w:sz w:val="16"/>
                <w:szCs w:val="16"/>
                <w:lang w:val="de-DE"/>
              </w:rPr>
              <w:t>ä</w:t>
            </w:r>
            <w:r w:rsidRPr="007321F9">
              <w:rPr>
                <w:rFonts w:ascii="Arial" w:hAnsi="Arial" w:cs="Arial"/>
                <w:sz w:val="16"/>
                <w:szCs w:val="16"/>
                <w:lang w:val="de-DE"/>
              </w:rPr>
              <w:t xml:space="preserve">rung angegebenen Konto der </w:t>
            </w:r>
            <w:r w:rsidR="009D74D1">
              <w:rPr>
                <w:rFonts w:ascii="Arial" w:hAnsi="Arial" w:cs="Arial"/>
                <w:sz w:val="16"/>
                <w:szCs w:val="16"/>
                <w:lang w:val="de-DE"/>
              </w:rPr>
              <w:t>Emittentin</w:t>
            </w:r>
            <w:r w:rsidRPr="007321F9">
              <w:rPr>
                <w:rFonts w:ascii="Arial" w:hAnsi="Arial" w:cs="Arial"/>
                <w:sz w:val="16"/>
                <w:szCs w:val="16"/>
                <w:lang w:val="de-DE"/>
              </w:rPr>
              <w:t xml:space="preserve"> maßgeblich) jeweils in den ersten 5 Bankarbeitstagen nach dem 1. eines Monats ausgeübt werden (der „</w:t>
            </w:r>
            <w:r w:rsidRPr="007321F9">
              <w:rPr>
                <w:rFonts w:ascii="Arial" w:hAnsi="Arial" w:cs="Arial"/>
                <w:b/>
                <w:sz w:val="16"/>
                <w:szCs w:val="16"/>
                <w:lang w:val="de-DE"/>
              </w:rPr>
              <w:t>Ausübungszeitraum</w:t>
            </w:r>
            <w:r w:rsidRPr="007321F9">
              <w:rPr>
                <w:rFonts w:ascii="Arial" w:hAnsi="Arial" w:cs="Arial"/>
                <w:sz w:val="16"/>
                <w:szCs w:val="16"/>
                <w:lang w:val="de-DE"/>
              </w:rPr>
              <w:t xml:space="preserve">“). Zur Ausübung des Wandlungsrechts muss der </w:t>
            </w:r>
            <w:r w:rsidR="009D74D1">
              <w:rPr>
                <w:rFonts w:ascii="Arial" w:hAnsi="Arial" w:cs="Arial"/>
                <w:sz w:val="16"/>
                <w:szCs w:val="16"/>
                <w:lang w:val="de-DE"/>
              </w:rPr>
              <w:t>Anleger</w:t>
            </w:r>
          </w:p>
          <w:p w14:paraId="401358E4" w14:textId="77777777" w:rsidR="009D74D1" w:rsidRDefault="007321F9" w:rsidP="007321F9">
            <w:pPr>
              <w:jc w:val="both"/>
              <w:rPr>
                <w:rFonts w:ascii="Arial" w:hAnsi="Arial" w:cs="Arial"/>
                <w:sz w:val="16"/>
                <w:szCs w:val="16"/>
                <w:lang w:val="de-DE"/>
              </w:rPr>
            </w:pPr>
            <w:r w:rsidRPr="007321F9">
              <w:rPr>
                <w:rFonts w:ascii="Arial" w:hAnsi="Arial" w:cs="Arial"/>
                <w:sz w:val="16"/>
                <w:szCs w:val="16"/>
                <w:lang w:val="de-DE"/>
              </w:rPr>
              <w:t>a)</w:t>
            </w:r>
            <w:r>
              <w:rPr>
                <w:rFonts w:ascii="Arial" w:hAnsi="Arial" w:cs="Arial"/>
                <w:sz w:val="16"/>
                <w:szCs w:val="16"/>
                <w:lang w:val="de-DE"/>
              </w:rPr>
              <w:t xml:space="preserve"> </w:t>
            </w:r>
            <w:r w:rsidRPr="007321F9">
              <w:rPr>
                <w:rFonts w:ascii="Arial" w:hAnsi="Arial" w:cs="Arial"/>
                <w:sz w:val="16"/>
                <w:szCs w:val="16"/>
                <w:lang w:val="de-DE"/>
              </w:rPr>
              <w:t>innerhalb des Ausübungszeitraums eine ordnungsgemäß ausgefüllte Erklärung (die "</w:t>
            </w:r>
            <w:r w:rsidRPr="009D74D1">
              <w:rPr>
                <w:rFonts w:ascii="Arial" w:hAnsi="Arial" w:cs="Arial"/>
                <w:b/>
                <w:sz w:val="16"/>
                <w:szCs w:val="16"/>
                <w:lang w:val="de-DE"/>
              </w:rPr>
              <w:t>Ausübungserklärung</w:t>
            </w:r>
            <w:r w:rsidRPr="007321F9">
              <w:rPr>
                <w:rFonts w:ascii="Arial" w:hAnsi="Arial" w:cs="Arial"/>
                <w:sz w:val="16"/>
                <w:szCs w:val="16"/>
                <w:lang w:val="de-DE"/>
              </w:rPr>
              <w:t xml:space="preserve">") unter Verwendung eines dann gültigen Vordrucks, der bei der </w:t>
            </w:r>
            <w:r w:rsidR="009D74D1">
              <w:rPr>
                <w:rFonts w:ascii="Arial" w:hAnsi="Arial" w:cs="Arial"/>
                <w:sz w:val="16"/>
                <w:szCs w:val="16"/>
                <w:lang w:val="de-DE"/>
              </w:rPr>
              <w:t>Emittentin</w:t>
            </w:r>
            <w:r w:rsidRPr="007321F9">
              <w:rPr>
                <w:rFonts w:ascii="Arial" w:hAnsi="Arial" w:cs="Arial"/>
                <w:sz w:val="16"/>
                <w:szCs w:val="16"/>
                <w:lang w:val="de-DE"/>
              </w:rPr>
              <w:t xml:space="preserve"> erhältlich ist, einreichen und</w:t>
            </w:r>
          </w:p>
          <w:p w14:paraId="33365355" w14:textId="118CF033" w:rsidR="009D74D1" w:rsidRDefault="007321F9" w:rsidP="007321F9">
            <w:pPr>
              <w:jc w:val="both"/>
              <w:rPr>
                <w:rFonts w:ascii="Arial" w:hAnsi="Arial" w:cs="Arial"/>
                <w:sz w:val="16"/>
                <w:szCs w:val="16"/>
                <w:lang w:val="de-DE"/>
              </w:rPr>
            </w:pPr>
            <w:r w:rsidRPr="007321F9">
              <w:rPr>
                <w:rFonts w:ascii="Arial" w:hAnsi="Arial" w:cs="Arial"/>
                <w:sz w:val="16"/>
                <w:szCs w:val="16"/>
                <w:lang w:val="de-DE"/>
              </w:rPr>
              <w:t>b)</w:t>
            </w:r>
            <w:r>
              <w:rPr>
                <w:rFonts w:ascii="Arial" w:hAnsi="Arial" w:cs="Arial"/>
                <w:sz w:val="16"/>
                <w:szCs w:val="16"/>
                <w:lang w:val="de-DE"/>
              </w:rPr>
              <w:t xml:space="preserve"> </w:t>
            </w:r>
            <w:r w:rsidRPr="007321F9">
              <w:rPr>
                <w:rFonts w:ascii="Arial" w:hAnsi="Arial" w:cs="Arial"/>
                <w:sz w:val="16"/>
                <w:szCs w:val="16"/>
                <w:lang w:val="de-DE"/>
              </w:rPr>
              <w:t xml:space="preserve">eine Bescheinigung seiner Depotbank vorlegen, aus der hervorgeht, dass der </w:t>
            </w:r>
            <w:r w:rsidR="009D74D1">
              <w:rPr>
                <w:rFonts w:ascii="Arial" w:hAnsi="Arial" w:cs="Arial"/>
                <w:sz w:val="16"/>
                <w:szCs w:val="16"/>
                <w:lang w:val="de-DE"/>
              </w:rPr>
              <w:t>Anleger</w:t>
            </w:r>
            <w:r w:rsidRPr="007321F9">
              <w:rPr>
                <w:rFonts w:ascii="Arial" w:hAnsi="Arial" w:cs="Arial"/>
                <w:sz w:val="16"/>
                <w:szCs w:val="16"/>
                <w:lang w:val="de-DE"/>
              </w:rPr>
              <w:t xml:space="preserve"> im Zeitpunkt der Ausübungserklärung Gläubiger der betreffenden Teilschuldverschreibung(en) ist.</w:t>
            </w:r>
          </w:p>
          <w:p w14:paraId="4CC142D2" w14:textId="5E0B40FF" w:rsidR="007321F9" w:rsidRDefault="007321F9" w:rsidP="007321F9">
            <w:pPr>
              <w:jc w:val="both"/>
              <w:rPr>
                <w:rFonts w:ascii="Arial" w:hAnsi="Arial" w:cs="Arial"/>
                <w:sz w:val="16"/>
                <w:szCs w:val="16"/>
                <w:lang w:val="de-DE"/>
              </w:rPr>
            </w:pPr>
            <w:r w:rsidRPr="007321F9">
              <w:rPr>
                <w:rFonts w:ascii="Arial" w:hAnsi="Arial" w:cs="Arial"/>
                <w:sz w:val="16"/>
                <w:szCs w:val="16"/>
                <w:lang w:val="de-DE"/>
              </w:rPr>
              <w:t>Eine einmal eingereichte Ausübungserklärung ist für die Dauer des Ausübungszeitraumes unwiderruflich und wird nur dann wirksam, wenn die vorgenannten Voraussetzungen erfüllt sind. Die Ausübungserklärung kann bei der Gesellschaft direkt angefordert werden.</w:t>
            </w:r>
            <w:r>
              <w:rPr>
                <w:rFonts w:ascii="Arial" w:hAnsi="Arial" w:cs="Arial"/>
                <w:sz w:val="16"/>
                <w:szCs w:val="16"/>
                <w:lang w:val="de-DE"/>
              </w:rPr>
              <w:t xml:space="preserve"> </w:t>
            </w:r>
            <w:r w:rsidRPr="007321F9">
              <w:rPr>
                <w:rFonts w:ascii="Arial" w:hAnsi="Arial" w:cs="Arial"/>
                <w:sz w:val="16"/>
                <w:szCs w:val="16"/>
                <w:lang w:val="de-DE"/>
              </w:rPr>
              <w:t xml:space="preserve">Darüber hinaus ist die </w:t>
            </w:r>
            <w:r w:rsidR="009D74D1">
              <w:rPr>
                <w:rFonts w:ascii="Arial" w:hAnsi="Arial" w:cs="Arial"/>
                <w:sz w:val="16"/>
                <w:szCs w:val="16"/>
                <w:lang w:val="de-DE"/>
              </w:rPr>
              <w:t>Emittentin</w:t>
            </w:r>
            <w:r w:rsidRPr="007321F9">
              <w:rPr>
                <w:rFonts w:ascii="Arial" w:hAnsi="Arial" w:cs="Arial"/>
                <w:sz w:val="16"/>
                <w:szCs w:val="16"/>
                <w:lang w:val="de-DE"/>
              </w:rPr>
              <w:t xml:space="preserve"> in den letzten beiden Monaten vor dem Laufzeitende berechtigt, eine Zwangswandlung der Wandelanleihe unter Einhaltung einer Frist von 2 Wochen mittels Bekanntmachung, die nach § 10 d</w:t>
            </w:r>
            <w:r>
              <w:rPr>
                <w:rFonts w:ascii="Arial" w:hAnsi="Arial" w:cs="Arial"/>
                <w:sz w:val="16"/>
                <w:szCs w:val="16"/>
                <w:lang w:val="de-DE"/>
              </w:rPr>
              <w:t>er</w:t>
            </w:r>
            <w:r w:rsidRPr="007321F9">
              <w:rPr>
                <w:rFonts w:ascii="Arial" w:hAnsi="Arial" w:cs="Arial"/>
                <w:sz w:val="16"/>
                <w:szCs w:val="16"/>
                <w:lang w:val="de-DE"/>
              </w:rPr>
              <w:t xml:space="preserve"> Wandelanleihebedingungen zu veröffentlichen ist, zu bestimmen (die „</w:t>
            </w:r>
            <w:r w:rsidRPr="007321F9">
              <w:rPr>
                <w:rFonts w:ascii="Arial" w:hAnsi="Arial" w:cs="Arial"/>
                <w:b/>
                <w:sz w:val="16"/>
                <w:szCs w:val="16"/>
                <w:lang w:val="de-DE"/>
              </w:rPr>
              <w:t>Zwangswandlung</w:t>
            </w:r>
            <w:r w:rsidRPr="007321F9">
              <w:rPr>
                <w:rFonts w:ascii="Arial" w:hAnsi="Arial" w:cs="Arial"/>
                <w:sz w:val="16"/>
                <w:szCs w:val="16"/>
                <w:lang w:val="de-DE"/>
              </w:rPr>
              <w:t xml:space="preserve">“). Im Falle der Ausübung dieses Rechts auf Zwangswandlung erlischt das Recht des </w:t>
            </w:r>
            <w:r w:rsidR="009D74D1">
              <w:rPr>
                <w:rFonts w:ascii="Arial" w:hAnsi="Arial" w:cs="Arial"/>
                <w:sz w:val="16"/>
                <w:szCs w:val="16"/>
                <w:lang w:val="de-DE"/>
              </w:rPr>
              <w:t>Anleger</w:t>
            </w:r>
            <w:r w:rsidRPr="007321F9">
              <w:rPr>
                <w:rFonts w:ascii="Arial" w:hAnsi="Arial" w:cs="Arial"/>
                <w:sz w:val="16"/>
                <w:szCs w:val="16"/>
                <w:lang w:val="de-DE"/>
              </w:rPr>
              <w:t xml:space="preserve">s auf Rückzahlung der Teilschuldverschreibungen und die Teilschuldverschreibungen werden zum Laufzeitende im Austausch gegen Aktien der </w:t>
            </w:r>
            <w:r w:rsidR="009D74D1">
              <w:rPr>
                <w:rFonts w:ascii="Arial" w:hAnsi="Arial" w:cs="Arial"/>
                <w:sz w:val="16"/>
                <w:szCs w:val="16"/>
                <w:lang w:val="de-DE"/>
              </w:rPr>
              <w:t>Emittentin</w:t>
            </w:r>
            <w:r w:rsidRPr="007321F9">
              <w:rPr>
                <w:rFonts w:ascii="Arial" w:hAnsi="Arial" w:cs="Arial"/>
                <w:sz w:val="16"/>
                <w:szCs w:val="16"/>
                <w:lang w:val="de-DE"/>
              </w:rPr>
              <w:t xml:space="preserve"> unter Berücksichtigung des Umtauschverhältnisses eingezogen</w:t>
            </w:r>
            <w:r>
              <w:rPr>
                <w:rFonts w:ascii="Arial" w:hAnsi="Arial" w:cs="Arial"/>
                <w:sz w:val="16"/>
                <w:szCs w:val="16"/>
                <w:lang w:val="de-DE"/>
              </w:rPr>
              <w:t>.</w:t>
            </w:r>
          </w:p>
          <w:p w14:paraId="41AC3D32" w14:textId="77777777" w:rsidR="00FB6952" w:rsidRPr="00FB6952" w:rsidRDefault="00FB6952" w:rsidP="00FB6952">
            <w:pPr>
              <w:jc w:val="both"/>
              <w:rPr>
                <w:rFonts w:ascii="Arial" w:hAnsi="Arial" w:cs="Arial"/>
                <w:sz w:val="16"/>
                <w:szCs w:val="16"/>
                <w:lang w:val="de-DE"/>
              </w:rPr>
            </w:pPr>
            <w:r w:rsidRPr="00FB6952">
              <w:rPr>
                <w:rFonts w:ascii="Arial" w:hAnsi="Arial" w:cs="Arial"/>
                <w:sz w:val="16"/>
                <w:szCs w:val="16"/>
                <w:lang w:val="de-DE"/>
              </w:rPr>
              <w:t>Das Wandlungsrecht aus einer Teilschuldverschreibung kann nicht ausgeübt werden, wenn der Anleger diese Teilschuldverschreibung außerordentlich gekündigt hat.</w:t>
            </w:r>
          </w:p>
          <w:p w14:paraId="07B472D8" w14:textId="77777777" w:rsidR="00FB6952" w:rsidRPr="00FB6952" w:rsidRDefault="00FB6952" w:rsidP="00FB6952">
            <w:pPr>
              <w:jc w:val="both"/>
              <w:rPr>
                <w:rFonts w:ascii="Arial" w:hAnsi="Arial" w:cs="Arial"/>
                <w:sz w:val="16"/>
                <w:szCs w:val="16"/>
                <w:lang w:val="de-DE"/>
              </w:rPr>
            </w:pPr>
            <w:r w:rsidRPr="00FB6952">
              <w:rPr>
                <w:rFonts w:ascii="Arial" w:hAnsi="Arial" w:cs="Arial"/>
                <w:sz w:val="16"/>
                <w:szCs w:val="16"/>
                <w:lang w:val="de-DE"/>
              </w:rPr>
              <w:t>Zahl- und Umtauschstelle ist die Bankhaus Gebr. Martin AG, Schlossplatz 7, 73033 Göppingen.</w:t>
            </w:r>
          </w:p>
          <w:p w14:paraId="30A68D7B" w14:textId="77777777" w:rsidR="00FB6952" w:rsidRPr="00FB6952" w:rsidRDefault="00FB6952" w:rsidP="00FB6952">
            <w:pPr>
              <w:jc w:val="both"/>
              <w:rPr>
                <w:rFonts w:ascii="Arial" w:hAnsi="Arial" w:cs="Arial"/>
                <w:sz w:val="16"/>
                <w:szCs w:val="16"/>
                <w:lang w:val="de-DE"/>
              </w:rPr>
            </w:pPr>
            <w:r w:rsidRPr="00FB6952">
              <w:rPr>
                <w:rFonts w:ascii="Arial" w:hAnsi="Arial" w:cs="Arial"/>
                <w:sz w:val="16"/>
                <w:szCs w:val="16"/>
                <w:lang w:val="de-DE"/>
              </w:rPr>
              <w:t>Die Kosten für die Ausübung des Wandlungsrechts und den Bezug der daraus hervorgehenden Aktien trägt jeweils der Anleger.</w:t>
            </w:r>
          </w:p>
          <w:p w14:paraId="29C908F8" w14:textId="7A1116C4" w:rsidR="001E5F97" w:rsidRDefault="007321F9" w:rsidP="00FB6952">
            <w:pPr>
              <w:jc w:val="both"/>
              <w:rPr>
                <w:rFonts w:ascii="Arial" w:hAnsi="Arial" w:cs="Arial"/>
                <w:sz w:val="16"/>
                <w:szCs w:val="16"/>
                <w:lang w:val="de-DE"/>
              </w:rPr>
            </w:pPr>
            <w:r w:rsidRPr="007321F9">
              <w:rPr>
                <w:rFonts w:ascii="Arial" w:hAnsi="Arial" w:cs="Arial"/>
                <w:sz w:val="16"/>
                <w:szCs w:val="16"/>
                <w:lang w:val="de-DE"/>
              </w:rPr>
              <w:t>Der Wandlungspreis, der für den Fall der Ausübung des Wandlungsrechts als durch die Zahlung des Ausgabepreises der Teilschuldverschreibung geleistet betrachtet wird, beträgt im Fall der wirksamen Ausübung des Wandlungsrechts sowie im Fall der Pflichtwandlung EUR 5,20 je Stückaktie mit einem rechnerischen Anteil am Grundkapital von EUR 1,- („</w:t>
            </w:r>
            <w:r w:rsidRPr="007321F9">
              <w:rPr>
                <w:rFonts w:ascii="Arial" w:hAnsi="Arial" w:cs="Arial"/>
                <w:b/>
                <w:sz w:val="16"/>
                <w:szCs w:val="16"/>
                <w:lang w:val="de-DE"/>
              </w:rPr>
              <w:t>Wandlungspreis</w:t>
            </w:r>
            <w:r w:rsidRPr="007321F9">
              <w:rPr>
                <w:rFonts w:ascii="Arial" w:hAnsi="Arial" w:cs="Arial"/>
                <w:sz w:val="16"/>
                <w:szCs w:val="16"/>
                <w:lang w:val="de-DE"/>
              </w:rPr>
              <w:t>"). Hieraus ergibt sich ein Umtauschverhältnis von 1:1 (</w:t>
            </w:r>
            <w:r>
              <w:rPr>
                <w:rFonts w:ascii="Arial" w:hAnsi="Arial" w:cs="Arial"/>
                <w:sz w:val="16"/>
                <w:szCs w:val="16"/>
                <w:lang w:val="de-DE"/>
              </w:rPr>
              <w:t>„</w:t>
            </w:r>
            <w:r w:rsidRPr="007321F9">
              <w:rPr>
                <w:rFonts w:ascii="Arial" w:hAnsi="Arial" w:cs="Arial"/>
                <w:b/>
                <w:sz w:val="16"/>
                <w:szCs w:val="16"/>
                <w:lang w:val="de-DE"/>
              </w:rPr>
              <w:t>Umtauschverhältnis</w:t>
            </w:r>
            <w:r w:rsidRPr="007321F9">
              <w:rPr>
                <w:rFonts w:ascii="Arial" w:hAnsi="Arial" w:cs="Arial"/>
                <w:sz w:val="16"/>
                <w:szCs w:val="16"/>
                <w:lang w:val="de-DE"/>
              </w:rPr>
              <w:t>").</w:t>
            </w:r>
          </w:p>
          <w:p w14:paraId="638A1846" w14:textId="77777777" w:rsidR="007321F9" w:rsidRDefault="007321F9" w:rsidP="00BE5338">
            <w:pPr>
              <w:jc w:val="both"/>
              <w:rPr>
                <w:rFonts w:ascii="Arial" w:hAnsi="Arial" w:cs="Arial"/>
                <w:b/>
                <w:sz w:val="16"/>
                <w:szCs w:val="16"/>
                <w:lang w:val="de-DE"/>
              </w:rPr>
            </w:pPr>
          </w:p>
          <w:p w14:paraId="6C899CC5" w14:textId="77777777" w:rsidR="007321F9" w:rsidRDefault="007321F9" w:rsidP="00BE5338">
            <w:pPr>
              <w:jc w:val="both"/>
              <w:rPr>
                <w:rFonts w:ascii="Arial" w:hAnsi="Arial" w:cs="Arial"/>
                <w:b/>
                <w:sz w:val="16"/>
                <w:szCs w:val="16"/>
                <w:lang w:val="de-DE"/>
              </w:rPr>
            </w:pPr>
          </w:p>
          <w:p w14:paraId="55D74E54" w14:textId="43D20EAB" w:rsidR="00BE5338" w:rsidRDefault="00BE5338" w:rsidP="00BE5338">
            <w:pPr>
              <w:jc w:val="both"/>
              <w:rPr>
                <w:rFonts w:ascii="Arial" w:hAnsi="Arial" w:cs="Arial"/>
                <w:b/>
                <w:sz w:val="16"/>
                <w:szCs w:val="16"/>
                <w:lang w:val="de-DE"/>
              </w:rPr>
            </w:pPr>
            <w:r w:rsidRPr="00466032">
              <w:rPr>
                <w:rFonts w:ascii="Arial" w:hAnsi="Arial" w:cs="Arial"/>
                <w:b/>
                <w:sz w:val="16"/>
                <w:szCs w:val="16"/>
                <w:lang w:val="de-DE"/>
              </w:rPr>
              <w:t>Kleinanleger-Zielgruppe:</w:t>
            </w:r>
          </w:p>
          <w:p w14:paraId="00DCE941" w14:textId="2E9B73B3" w:rsidR="00B72493" w:rsidRPr="00C32A72" w:rsidRDefault="00FB6952" w:rsidP="007F545B">
            <w:pPr>
              <w:jc w:val="both"/>
              <w:rPr>
                <w:rFonts w:ascii="Arial" w:hAnsi="Arial" w:cs="Arial"/>
                <w:sz w:val="16"/>
                <w:szCs w:val="16"/>
                <w:lang w:val="de-DE"/>
              </w:rPr>
            </w:pPr>
            <w:r w:rsidRPr="00FB6952">
              <w:rPr>
                <w:rFonts w:ascii="Arial" w:hAnsi="Arial" w:cs="Arial"/>
                <w:sz w:val="16"/>
                <w:szCs w:val="16"/>
                <w:lang w:val="de-DE"/>
              </w:rPr>
              <w:t>Das Produkt richtet sich an Privatkunden gemäß § 67 Abs. 3 WpHG, jedoch sind auch professionelle Kunden gemäß § 67 Abs. 2 WpHG und geeignete Gegenparteien nach § 67 Abs. 4 WpHG nicht vom Erwerb des Produktes ausgeschlossen. Das Produkt richtet sich an Anleger, die eine spekulative Anlagemöglichkeit suchen, welche mit der Erwartung einhergeht, dass bei Wandlung der Wert der Aktien den Wert der Wandelschuldverschreibungen übersteigt. Beim Produkt handelt es sich um eine komplexe Anlageform. Es eignet sich nur für Anleger, die über ausreichende Kenntnisse und Erfahrungen in Bezug auf Wandelschuldverschreibungen und Aktien verfügen und die Funktionsweise des Produkts verstehen und die damit verbundenen Chancen und Risiken einschätzen können. Zudem sollte ein Anleger über ausreichende finanzielle Mittel verfügen, um alle Risiken einer Anlage in das Produkt, bis hin zum Totalverlust, tragen zu können. Das Produkt richtet sich an Anleger mit einem kurzfristigen Anlagehorizont (2 Jahre).</w:t>
            </w:r>
          </w:p>
        </w:tc>
      </w:tr>
      <w:tr w:rsidR="009F0BE5" w:rsidRPr="009D74D1" w14:paraId="3D7E2CA1" w14:textId="77777777" w:rsidTr="00720E1E">
        <w:trPr>
          <w:trHeight w:val="339"/>
        </w:trPr>
        <w:tc>
          <w:tcPr>
            <w:tcW w:w="11483" w:type="dxa"/>
            <w:gridSpan w:val="3"/>
            <w:tcBorders>
              <w:bottom w:val="nil"/>
            </w:tcBorders>
            <w:shd w:val="clear" w:color="auto" w:fill="FFFFFF" w:themeFill="background1"/>
          </w:tcPr>
          <w:p w14:paraId="2CD333FD" w14:textId="516A663D" w:rsidR="00BE1844" w:rsidRPr="003F1291" w:rsidRDefault="009F0BE5" w:rsidP="0024790E">
            <w:pPr>
              <w:spacing w:before="120" w:after="120"/>
              <w:jc w:val="both"/>
              <w:rPr>
                <w:rFonts w:ascii="Arial" w:hAnsi="Arial" w:cs="Arial"/>
                <w:b/>
                <w:sz w:val="18"/>
                <w:szCs w:val="18"/>
                <w:lang w:val="de-DE"/>
              </w:rPr>
            </w:pPr>
            <w:r w:rsidRPr="003F1291">
              <w:rPr>
                <w:rFonts w:ascii="Arial" w:hAnsi="Arial" w:cs="Arial"/>
                <w:b/>
                <w:color w:val="548DD4" w:themeColor="text2" w:themeTint="99"/>
                <w:sz w:val="18"/>
                <w:szCs w:val="18"/>
                <w:lang w:val="de-DE"/>
              </w:rPr>
              <w:lastRenderedPageBreak/>
              <w:t>Welche Risiken bestehen und was könnte ich im Gegenzug dafür bekommen?</w:t>
            </w:r>
          </w:p>
        </w:tc>
      </w:tr>
      <w:tr w:rsidR="004A55C1" w:rsidRPr="004A55C1" w14:paraId="7DA60735" w14:textId="77777777" w:rsidTr="00720E1E">
        <w:tc>
          <w:tcPr>
            <w:tcW w:w="11483" w:type="dxa"/>
            <w:gridSpan w:val="3"/>
            <w:tcBorders>
              <w:top w:val="nil"/>
              <w:bottom w:val="nil"/>
            </w:tcBorders>
            <w:shd w:val="clear" w:color="auto" w:fill="FFFFFF" w:themeFill="background1"/>
          </w:tcPr>
          <w:p w14:paraId="7CB1EE66" w14:textId="77777777" w:rsidR="007321F9" w:rsidRDefault="007321F9" w:rsidP="004A55C1">
            <w:pPr>
              <w:jc w:val="both"/>
              <w:rPr>
                <w:rFonts w:ascii="Arial" w:hAnsi="Arial" w:cs="Arial"/>
                <w:b/>
                <w:bCs/>
                <w:sz w:val="16"/>
                <w:szCs w:val="16"/>
                <w:lang w:val="de-DE"/>
              </w:rPr>
            </w:pPr>
          </w:p>
          <w:p w14:paraId="38138473" w14:textId="77777777" w:rsidR="004A55C1" w:rsidRDefault="004A55C1" w:rsidP="004A55C1">
            <w:pPr>
              <w:jc w:val="both"/>
              <w:rPr>
                <w:rFonts w:ascii="Arial" w:hAnsi="Arial" w:cs="Arial"/>
                <w:b/>
                <w:bCs/>
                <w:sz w:val="16"/>
                <w:szCs w:val="16"/>
                <w:lang w:val="de-DE"/>
              </w:rPr>
            </w:pPr>
            <w:r w:rsidRPr="004A55C1">
              <w:rPr>
                <w:rFonts w:ascii="Arial" w:hAnsi="Arial" w:cs="Arial"/>
                <w:b/>
                <w:bCs/>
                <w:sz w:val="16"/>
                <w:szCs w:val="16"/>
                <w:lang w:val="de-DE"/>
              </w:rPr>
              <w:t>Risikoindikator</w:t>
            </w:r>
          </w:p>
          <w:p w14:paraId="55717BC5" w14:textId="76502BEC" w:rsidR="005828E8" w:rsidRPr="004A55C1" w:rsidRDefault="005828E8" w:rsidP="004A55C1">
            <w:pPr>
              <w:jc w:val="both"/>
              <w:rPr>
                <w:rFonts w:ascii="Arial" w:hAnsi="Arial" w:cs="Arial"/>
                <w:b/>
                <w:bCs/>
                <w:color w:val="FFFFFF" w:themeColor="background1"/>
                <w:sz w:val="16"/>
                <w:szCs w:val="16"/>
                <w:lang w:val="de-DE"/>
              </w:rPr>
            </w:pPr>
          </w:p>
        </w:tc>
      </w:tr>
      <w:tr w:rsidR="004A55C1" w:rsidRPr="009D74D1" w14:paraId="5AAA1A4C" w14:textId="77777777" w:rsidTr="00720E1E">
        <w:tc>
          <w:tcPr>
            <w:tcW w:w="426" w:type="dxa"/>
            <w:tcBorders>
              <w:top w:val="nil"/>
              <w:left w:val="nil"/>
              <w:bottom w:val="nil"/>
              <w:right w:val="nil"/>
            </w:tcBorders>
            <w:shd w:val="clear" w:color="auto" w:fill="548DD4" w:themeFill="text2" w:themeFillTint="99"/>
          </w:tcPr>
          <w:p w14:paraId="46BB9319" w14:textId="12620A1F" w:rsidR="009A38F1" w:rsidRPr="004A55C1" w:rsidRDefault="009A38F1" w:rsidP="00216C02">
            <w:pPr>
              <w:jc w:val="both"/>
              <w:rPr>
                <w:rFonts w:ascii="Arial" w:hAnsi="Arial" w:cs="Arial"/>
                <w:bCs/>
                <w:color w:val="FFFFFF" w:themeColor="background1"/>
                <w:sz w:val="16"/>
                <w:szCs w:val="16"/>
                <w:lang w:val="de-DE"/>
              </w:rPr>
            </w:pPr>
          </w:p>
        </w:tc>
        <w:tc>
          <w:tcPr>
            <w:tcW w:w="11057" w:type="dxa"/>
            <w:gridSpan w:val="2"/>
            <w:tcBorders>
              <w:top w:val="nil"/>
              <w:left w:val="nil"/>
              <w:bottom w:val="nil"/>
              <w:right w:val="nil"/>
            </w:tcBorders>
            <w:shd w:val="clear" w:color="auto" w:fill="548DD4" w:themeFill="text2" w:themeFillTint="99"/>
          </w:tcPr>
          <w:p w14:paraId="153DA6A6" w14:textId="4830B988" w:rsidR="00F030EC" w:rsidRPr="004A55C1" w:rsidRDefault="00466032" w:rsidP="00466032">
            <w:pPr>
              <w:ind w:left="1236"/>
              <w:jc w:val="both"/>
              <w:rPr>
                <w:rFonts w:ascii="Arial" w:hAnsi="Arial" w:cs="Arial"/>
                <w:bCs/>
                <w:color w:val="FFFFFF" w:themeColor="background1"/>
                <w:sz w:val="16"/>
                <w:szCs w:val="16"/>
                <w:lang w:val="de-DE"/>
              </w:rPr>
            </w:pPr>
            <w:r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7" behindDoc="0" locked="0" layoutInCell="1" allowOverlap="1" wp14:anchorId="32ACA719" wp14:editId="1660EB9E">
                      <wp:simplePos x="0" y="0"/>
                      <wp:positionH relativeFrom="column">
                        <wp:posOffset>3872698</wp:posOffset>
                      </wp:positionH>
                      <wp:positionV relativeFrom="paragraph">
                        <wp:posOffset>80645</wp:posOffset>
                      </wp:positionV>
                      <wp:extent cx="504749" cy="482803"/>
                      <wp:effectExtent l="76200" t="57150" r="67310" b="88900"/>
                      <wp:wrapNone/>
                      <wp:docPr id="14" name="Rechteck 14"/>
                      <wp:cNvGraphicFramePr/>
                      <a:graphic xmlns:a="http://schemas.openxmlformats.org/drawingml/2006/main">
                        <a:graphicData uri="http://schemas.microsoft.com/office/word/2010/wordprocessingShape">
                          <wps:wsp>
                            <wps:cNvSpPr/>
                            <wps:spPr>
                              <a:xfrm>
                                <a:off x="0" y="0"/>
                                <a:ext cx="504749" cy="482803"/>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6E98341" w14:textId="1A566623"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A719" id="Rechteck 14" o:spid="_x0000_s1026" style="position:absolute;left:0;text-align:left;margin-left:304.95pt;margin-top:6.35pt;width:39.75pt;height: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" fillcolor="#4f81bd [3204]" strokecolor="white [3201]" strokeweight="3pt">
                      <v:shadow on="t" color="black" opacity="24903f" origin=",.5" offset="0,.55556mm"/>
                      <v:textbox>
                        <w:txbxContent>
                          <w:p w14:paraId="46E98341" w14:textId="1A566623"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7</w:t>
                            </w:r>
                          </w:p>
                        </w:txbxContent>
                      </v:textbox>
                    </v:rect>
                  </w:pict>
                </mc:Fallback>
              </mc:AlternateContent>
            </w:r>
            <w:r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3" behindDoc="0" locked="0" layoutInCell="1" allowOverlap="1" wp14:anchorId="45013788" wp14:editId="09D23016">
                      <wp:simplePos x="0" y="0"/>
                      <wp:positionH relativeFrom="column">
                        <wp:posOffset>1340262</wp:posOffset>
                      </wp:positionH>
                      <wp:positionV relativeFrom="paragraph">
                        <wp:posOffset>78685</wp:posOffset>
                      </wp:positionV>
                      <wp:extent cx="504749" cy="489915"/>
                      <wp:effectExtent l="76200" t="57150" r="67310" b="100965"/>
                      <wp:wrapNone/>
                      <wp:docPr id="10" name="Rechteck 10"/>
                      <wp:cNvGraphicFramePr/>
                      <a:graphic xmlns:a="http://schemas.openxmlformats.org/drawingml/2006/main">
                        <a:graphicData uri="http://schemas.microsoft.com/office/word/2010/wordprocessingShape">
                          <wps:wsp>
                            <wps:cNvSpPr/>
                            <wps:spPr>
                              <a:xfrm>
                                <a:off x="0" y="0"/>
                                <a:ext cx="504749" cy="48991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7A54B38" w14:textId="4485A402"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13788" id="Rechteck 10" o:spid="_x0000_s1027" style="position:absolute;left:0;text-align:left;margin-left:105.55pt;margin-top:6.2pt;width:39.75pt;height:3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" fillcolor="#4f81bd [3204]" strokecolor="white [3201]" strokeweight="3pt">
                      <v:shadow on="t" color="black" opacity="24903f" origin=",.5" offset="0,.55556mm"/>
                      <v:textbox>
                        <w:txbxContent>
                          <w:p w14:paraId="37A54B38" w14:textId="4485A402"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3</w:t>
                            </w:r>
                          </w:p>
                        </w:txbxContent>
                      </v:textbox>
                    </v:rect>
                  </w:pict>
                </mc:Fallback>
              </mc:AlternateContent>
            </w:r>
            <w:r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2" behindDoc="0" locked="0" layoutInCell="1" allowOverlap="1" wp14:anchorId="50E51579" wp14:editId="35BE2357">
                      <wp:simplePos x="0" y="0"/>
                      <wp:positionH relativeFrom="column">
                        <wp:posOffset>716859</wp:posOffset>
                      </wp:positionH>
                      <wp:positionV relativeFrom="paragraph">
                        <wp:posOffset>78629</wp:posOffset>
                      </wp:positionV>
                      <wp:extent cx="504190" cy="482600"/>
                      <wp:effectExtent l="76200" t="57150" r="67310" b="88900"/>
                      <wp:wrapNone/>
                      <wp:docPr id="8" name="Rechteck 8"/>
                      <wp:cNvGraphicFramePr/>
                      <a:graphic xmlns:a="http://schemas.openxmlformats.org/drawingml/2006/main">
                        <a:graphicData uri="http://schemas.microsoft.com/office/word/2010/wordprocessingShape">
                          <wps:wsp>
                            <wps:cNvSpPr/>
                            <wps:spPr>
                              <a:xfrm>
                                <a:off x="0" y="0"/>
                                <a:ext cx="504190" cy="48260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D67CDC0" w14:textId="615A701B"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51579" id="Rechteck 8" o:spid="_x0000_s1028" style="position:absolute;left:0;text-align:left;margin-left:56.45pt;margin-top:6.2pt;width:39.7pt;height: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" fillcolor="#4f81bd [3204]" strokecolor="white [3201]" strokeweight="3pt">
                      <v:shadow on="t" color="black" opacity="24903f" origin=",.5" offset="0,.55556mm"/>
                      <v:textbox>
                        <w:txbxContent>
                          <w:p w14:paraId="3D67CDC0" w14:textId="615A701B"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2</w:t>
                            </w:r>
                          </w:p>
                        </w:txbxContent>
                      </v:textbox>
                    </v:rect>
                  </w:pict>
                </mc:Fallback>
              </mc:AlternateContent>
            </w:r>
            <w:r w:rsidR="000A36E0"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6" behindDoc="0" locked="0" layoutInCell="1" allowOverlap="1" wp14:anchorId="41F38D43" wp14:editId="04F047E9">
                      <wp:simplePos x="0" y="0"/>
                      <wp:positionH relativeFrom="column">
                        <wp:posOffset>3236188</wp:posOffset>
                      </wp:positionH>
                      <wp:positionV relativeFrom="paragraph">
                        <wp:posOffset>76581</wp:posOffset>
                      </wp:positionV>
                      <wp:extent cx="504749" cy="482803"/>
                      <wp:effectExtent l="76200" t="57150" r="67310" b="88900"/>
                      <wp:wrapNone/>
                      <wp:docPr id="13" name="Rechteck 13"/>
                      <wp:cNvGraphicFramePr/>
                      <a:graphic xmlns:a="http://schemas.openxmlformats.org/drawingml/2006/main">
                        <a:graphicData uri="http://schemas.microsoft.com/office/word/2010/wordprocessingShape">
                          <wps:wsp>
                            <wps:cNvSpPr/>
                            <wps:spPr>
                              <a:xfrm>
                                <a:off x="0" y="0"/>
                                <a:ext cx="504749" cy="482803"/>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CDAA3E7" w14:textId="76D6915A" w:rsidR="000A36E0" w:rsidRPr="000A36E0" w:rsidRDefault="000A36E0" w:rsidP="000A36E0">
                                  <w:pPr>
                                    <w:jc w:val="center"/>
                                    <w:rPr>
                                      <w:b/>
                                      <w:bCs/>
                                      <w:sz w:val="40"/>
                                      <w:szCs w:val="40"/>
                                      <w:lang w:val="de-DE"/>
                                    </w:rPr>
                                  </w:pPr>
                                  <w:r w:rsidRPr="000A36E0">
                                    <w:rPr>
                                      <w:b/>
                                      <w:bCs/>
                                      <w:sz w:val="40"/>
                                      <w:szCs w:val="40"/>
                                      <w:lang w:val="de-D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38D43" id="Rechteck 13" o:spid="_x0000_s1029" style="position:absolute;left:0;text-align:left;margin-left:254.8pt;margin-top:6.05pt;width:39.75pt;height: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" fillcolor="#4f81bd [3204]" strokecolor="white [3201]" strokeweight="3pt">
                      <v:shadow on="t" color="black" opacity="24903f" origin=",.5" offset="0,.55556mm"/>
                      <v:textbox>
                        <w:txbxContent>
                          <w:p w14:paraId="5CDAA3E7" w14:textId="76D6915A" w:rsidR="000A36E0" w:rsidRPr="000A36E0" w:rsidRDefault="000A36E0" w:rsidP="000A36E0">
                            <w:pPr>
                              <w:jc w:val="center"/>
                              <w:rPr>
                                <w:b/>
                                <w:bCs/>
                                <w:sz w:val="40"/>
                                <w:szCs w:val="40"/>
                                <w:lang w:val="de-DE"/>
                              </w:rPr>
                            </w:pPr>
                            <w:r w:rsidRPr="000A36E0">
                              <w:rPr>
                                <w:b/>
                                <w:bCs/>
                                <w:sz w:val="40"/>
                                <w:szCs w:val="40"/>
                                <w:lang w:val="de-DE"/>
                              </w:rPr>
                              <w:t>6</w:t>
                            </w:r>
                          </w:p>
                        </w:txbxContent>
                      </v:textbox>
                    </v:rect>
                  </w:pict>
                </mc:Fallback>
              </mc:AlternateContent>
            </w:r>
            <w:r w:rsidR="000A36E0"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5" behindDoc="0" locked="0" layoutInCell="1" allowOverlap="1" wp14:anchorId="2245E2A8" wp14:editId="171EAA70">
                      <wp:simplePos x="0" y="0"/>
                      <wp:positionH relativeFrom="column">
                        <wp:posOffset>2592451</wp:posOffset>
                      </wp:positionH>
                      <wp:positionV relativeFrom="paragraph">
                        <wp:posOffset>76581</wp:posOffset>
                      </wp:positionV>
                      <wp:extent cx="504749" cy="482803"/>
                      <wp:effectExtent l="76200" t="38100" r="67310" b="88900"/>
                      <wp:wrapNone/>
                      <wp:docPr id="12" name="Rechteck 12"/>
                      <wp:cNvGraphicFramePr/>
                      <a:graphic xmlns:a="http://schemas.openxmlformats.org/drawingml/2006/main">
                        <a:graphicData uri="http://schemas.microsoft.com/office/word/2010/wordprocessingShape">
                          <wps:wsp>
                            <wps:cNvSpPr/>
                            <wps:spPr>
                              <a:xfrm>
                                <a:off x="0" y="0"/>
                                <a:ext cx="504749" cy="482803"/>
                              </a:xfrm>
                              <a:prstGeom prst="rect">
                                <a:avLst/>
                              </a:prstGeom>
                              <a:solidFill>
                                <a:srgbClr val="FFFF00"/>
                              </a:solidFill>
                              <a:ln/>
                            </wps:spPr>
                            <wps:style>
                              <a:lnRef idx="0">
                                <a:schemeClr val="accent1"/>
                              </a:lnRef>
                              <a:fillRef idx="3">
                                <a:schemeClr val="accent1"/>
                              </a:fillRef>
                              <a:effectRef idx="3">
                                <a:schemeClr val="accent1"/>
                              </a:effectRef>
                              <a:fontRef idx="minor">
                                <a:schemeClr val="lt1"/>
                              </a:fontRef>
                            </wps:style>
                            <wps:txbx>
                              <w:txbxContent>
                                <w:p w14:paraId="2C46E342" w14:textId="44C27561" w:rsidR="000A36E0" w:rsidRPr="007321F9" w:rsidRDefault="000A36E0" w:rsidP="000A36E0">
                                  <w:pPr>
                                    <w:jc w:val="center"/>
                                    <w:rPr>
                                      <w:b/>
                                      <w:bCs/>
                                      <w:color w:val="000000" w:themeColor="text1"/>
                                      <w:sz w:val="40"/>
                                      <w:szCs w:val="40"/>
                                      <w:lang w:val="de-DE"/>
                                    </w:rPr>
                                  </w:pPr>
                                  <w:r w:rsidRPr="007321F9">
                                    <w:rPr>
                                      <w:b/>
                                      <w:bCs/>
                                      <w:color w:val="000000" w:themeColor="text1"/>
                                      <w:sz w:val="40"/>
                                      <w:szCs w:val="40"/>
                                      <w:lang w:val="de-D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5E2A8" id="Rechteck 12" o:spid="_x0000_s1030" style="position:absolute;left:0;text-align:left;margin-left:204.15pt;margin-top:6.05pt;width:39.75pt;height: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" fillcolor="yellow" stroked="f">
                      <v:shadow on="t" color="black" opacity="22937f" origin=",.5" offset="0,.63889mm"/>
                      <v:textbox>
                        <w:txbxContent>
                          <w:p w14:paraId="2C46E342" w14:textId="44C27561" w:rsidR="000A36E0" w:rsidRPr="007321F9" w:rsidRDefault="000A36E0" w:rsidP="000A36E0">
                            <w:pPr>
                              <w:jc w:val="center"/>
                              <w:rPr>
                                <w:b/>
                                <w:bCs/>
                                <w:color w:val="000000" w:themeColor="text1"/>
                                <w:sz w:val="40"/>
                                <w:szCs w:val="40"/>
                                <w:lang w:val="de-DE"/>
                              </w:rPr>
                            </w:pPr>
                            <w:r w:rsidRPr="007321F9">
                              <w:rPr>
                                <w:b/>
                                <w:bCs/>
                                <w:color w:val="000000" w:themeColor="text1"/>
                                <w:sz w:val="40"/>
                                <w:szCs w:val="40"/>
                                <w:lang w:val="de-DE"/>
                              </w:rPr>
                              <w:t>5</w:t>
                            </w:r>
                          </w:p>
                        </w:txbxContent>
                      </v:textbox>
                    </v:rect>
                  </w:pict>
                </mc:Fallback>
              </mc:AlternateContent>
            </w:r>
            <w:r w:rsidR="000A36E0"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4" behindDoc="0" locked="0" layoutInCell="1" allowOverlap="1" wp14:anchorId="74961355" wp14:editId="1EF1952D">
                      <wp:simplePos x="0" y="0"/>
                      <wp:positionH relativeFrom="column">
                        <wp:posOffset>1970659</wp:posOffset>
                      </wp:positionH>
                      <wp:positionV relativeFrom="paragraph">
                        <wp:posOffset>76581</wp:posOffset>
                      </wp:positionV>
                      <wp:extent cx="504749" cy="482803"/>
                      <wp:effectExtent l="76200" t="57150" r="67310" b="88900"/>
                      <wp:wrapNone/>
                      <wp:docPr id="11" name="Rechteck 11"/>
                      <wp:cNvGraphicFramePr/>
                      <a:graphic xmlns:a="http://schemas.openxmlformats.org/drawingml/2006/main">
                        <a:graphicData uri="http://schemas.microsoft.com/office/word/2010/wordprocessingShape">
                          <wps:wsp>
                            <wps:cNvSpPr/>
                            <wps:spPr>
                              <a:xfrm>
                                <a:off x="0" y="0"/>
                                <a:ext cx="504749" cy="482803"/>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6471612" w14:textId="423E3569"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61355" id="Rechteck 11" o:spid="_x0000_s1031" style="position:absolute;left:0;text-align:left;margin-left:155.15pt;margin-top:6.05pt;width:39.75pt;height: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" fillcolor="#4f81bd [3204]" strokecolor="white [3201]" strokeweight="3pt">
                      <v:shadow on="t" color="black" opacity="24903f" origin=",.5" offset="0,.55556mm"/>
                      <v:textbox>
                        <w:txbxContent>
                          <w:p w14:paraId="36471612" w14:textId="423E3569" w:rsidR="000A36E0" w:rsidRPr="00466032" w:rsidRDefault="000A36E0" w:rsidP="000A36E0">
                            <w:pPr>
                              <w:jc w:val="center"/>
                              <w:rPr>
                                <w:b/>
                                <w:bCs/>
                                <w:color w:val="FFFFFF" w:themeColor="background1"/>
                                <w:sz w:val="40"/>
                                <w:szCs w:val="40"/>
                                <w:lang w:val="de-DE"/>
                              </w:rPr>
                            </w:pPr>
                            <w:r w:rsidRPr="00466032">
                              <w:rPr>
                                <w:b/>
                                <w:bCs/>
                                <w:color w:val="FFFFFF" w:themeColor="background1"/>
                                <w:sz w:val="40"/>
                                <w:szCs w:val="40"/>
                                <w:lang w:val="de-DE"/>
                              </w:rPr>
                              <w:t>4</w:t>
                            </w:r>
                          </w:p>
                        </w:txbxContent>
                      </v:textbox>
                    </v:rect>
                  </w:pict>
                </mc:Fallback>
              </mc:AlternateContent>
            </w:r>
            <w:r w:rsidR="000A36E0"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0" behindDoc="0" locked="0" layoutInCell="1" allowOverlap="1" wp14:anchorId="5A984EB9" wp14:editId="1C0A82C4">
                      <wp:simplePos x="0" y="0"/>
                      <wp:positionH relativeFrom="column">
                        <wp:posOffset>61747</wp:posOffset>
                      </wp:positionH>
                      <wp:positionV relativeFrom="paragraph">
                        <wp:posOffset>74117</wp:posOffset>
                      </wp:positionV>
                      <wp:extent cx="504749" cy="482803"/>
                      <wp:effectExtent l="76200" t="57150" r="67310" b="88900"/>
                      <wp:wrapNone/>
                      <wp:docPr id="7" name="Rechteck 7"/>
                      <wp:cNvGraphicFramePr/>
                      <a:graphic xmlns:a="http://schemas.openxmlformats.org/drawingml/2006/main">
                        <a:graphicData uri="http://schemas.microsoft.com/office/word/2010/wordprocessingShape">
                          <wps:wsp>
                            <wps:cNvSpPr/>
                            <wps:spPr>
                              <a:xfrm>
                                <a:off x="0" y="0"/>
                                <a:ext cx="504749" cy="482803"/>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72ED1B41" w14:textId="40EF1BBD" w:rsidR="000A36E0" w:rsidRPr="00466032" w:rsidRDefault="000A36E0" w:rsidP="00466032">
                                  <w:pPr>
                                    <w:shd w:val="clear" w:color="auto" w:fill="548DD4" w:themeFill="text2" w:themeFillTint="99"/>
                                    <w:jc w:val="center"/>
                                    <w:rPr>
                                      <w:b/>
                                      <w:color w:val="FFFFFF" w:themeColor="background1"/>
                                      <w:sz w:val="40"/>
                                      <w:szCs w:val="40"/>
                                      <w:lang w:val="de-DE"/>
                                    </w:rPr>
                                  </w:pPr>
                                  <w:r w:rsidRPr="00466032">
                                    <w:rPr>
                                      <w:b/>
                                      <w:color w:val="FFFFFF" w:themeColor="background1"/>
                                      <w:sz w:val="40"/>
                                      <w:szCs w:val="40"/>
                                      <w:lang w:val="de-D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4EB9" id="Rechteck 7" o:spid="_x0000_s1032" style="position:absolute;left:0;text-align:left;margin-left:4.85pt;margin-top:5.85pt;width:39.75pt;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" fillcolor="#4f81bd [3204]" strokecolor="white [3201]" strokeweight="3pt">
                      <v:shadow on="t" color="black" opacity="24903f" origin=",.5" offset="0,.55556mm"/>
                      <v:textbox>
                        <w:txbxContent>
                          <w:p w14:paraId="72ED1B41" w14:textId="40EF1BBD" w:rsidR="000A36E0" w:rsidRPr="00466032" w:rsidRDefault="000A36E0" w:rsidP="00466032">
                            <w:pPr>
                              <w:shd w:val="clear" w:color="auto" w:fill="548DD4" w:themeFill="text2" w:themeFillTint="99"/>
                              <w:jc w:val="center"/>
                              <w:rPr>
                                <w:b/>
                                <w:color w:val="FFFFFF" w:themeColor="background1"/>
                                <w:sz w:val="40"/>
                                <w:szCs w:val="40"/>
                                <w:lang w:val="de-DE"/>
                              </w:rPr>
                            </w:pPr>
                            <w:r w:rsidRPr="00466032">
                              <w:rPr>
                                <w:b/>
                                <w:color w:val="FFFFFF" w:themeColor="background1"/>
                                <w:sz w:val="40"/>
                                <w:szCs w:val="40"/>
                                <w:lang w:val="de-DE"/>
                              </w:rPr>
                              <w:t>1</w:t>
                            </w:r>
                          </w:p>
                        </w:txbxContent>
                      </v:textbox>
                    </v:rect>
                  </w:pict>
                </mc:Fallback>
              </mc:AlternateContent>
            </w:r>
          </w:p>
          <w:p w14:paraId="1598B2D7" w14:textId="33AB4185" w:rsidR="00F030EC" w:rsidRPr="004A55C1" w:rsidRDefault="00F030EC" w:rsidP="00466032">
            <w:pPr>
              <w:ind w:left="1236"/>
              <w:jc w:val="both"/>
              <w:rPr>
                <w:rFonts w:ascii="Arial" w:hAnsi="Arial" w:cs="Arial"/>
                <w:bCs/>
                <w:color w:val="FFFFFF" w:themeColor="background1"/>
                <w:sz w:val="16"/>
                <w:szCs w:val="16"/>
                <w:lang w:val="de-DE"/>
              </w:rPr>
            </w:pPr>
          </w:p>
          <w:p w14:paraId="78892913" w14:textId="20F5CA3B" w:rsidR="00F030EC" w:rsidRPr="004A55C1" w:rsidRDefault="00F030EC" w:rsidP="00466032">
            <w:pPr>
              <w:ind w:left="1236"/>
              <w:jc w:val="both"/>
              <w:rPr>
                <w:rFonts w:ascii="Arial" w:hAnsi="Arial" w:cs="Arial"/>
                <w:bCs/>
                <w:color w:val="FFFFFF" w:themeColor="background1"/>
                <w:sz w:val="16"/>
                <w:szCs w:val="16"/>
                <w:lang w:val="de-DE"/>
              </w:rPr>
            </w:pPr>
          </w:p>
          <w:p w14:paraId="46B7324C" w14:textId="26CA47D4" w:rsidR="00F030EC" w:rsidRPr="004A55C1" w:rsidRDefault="00F030EC" w:rsidP="00466032">
            <w:pPr>
              <w:ind w:left="1236"/>
              <w:jc w:val="both"/>
              <w:rPr>
                <w:rFonts w:ascii="Arial" w:hAnsi="Arial" w:cs="Arial"/>
                <w:bCs/>
                <w:color w:val="FFFFFF" w:themeColor="background1"/>
                <w:sz w:val="16"/>
                <w:szCs w:val="16"/>
                <w:lang w:val="de-DE"/>
              </w:rPr>
            </w:pPr>
          </w:p>
          <w:p w14:paraId="47CF38F7" w14:textId="23588A33" w:rsidR="000A36E0" w:rsidRPr="004A55C1" w:rsidRDefault="000A36E0" w:rsidP="00466032">
            <w:pPr>
              <w:ind w:left="1236"/>
              <w:jc w:val="both"/>
              <w:rPr>
                <w:rFonts w:ascii="Arial" w:hAnsi="Arial" w:cs="Arial"/>
                <w:bCs/>
                <w:color w:val="FFFFFF" w:themeColor="background1"/>
                <w:sz w:val="16"/>
                <w:szCs w:val="16"/>
                <w:lang w:val="de-DE"/>
              </w:rPr>
            </w:pPr>
          </w:p>
          <w:p w14:paraId="071F0A7A" w14:textId="256BB699" w:rsidR="000A36E0" w:rsidRPr="004A55C1" w:rsidRDefault="00466032" w:rsidP="00466032">
            <w:pPr>
              <w:ind w:left="1236"/>
              <w:jc w:val="both"/>
              <w:rPr>
                <w:rFonts w:ascii="Arial" w:hAnsi="Arial" w:cs="Arial"/>
                <w:bCs/>
                <w:color w:val="FFFFFF" w:themeColor="background1"/>
                <w:sz w:val="16"/>
                <w:szCs w:val="16"/>
                <w:lang w:val="de-DE"/>
              </w:rPr>
            </w:pPr>
            <w:r w:rsidRPr="004A55C1">
              <w:rPr>
                <w:rFonts w:ascii="Arial" w:hAnsi="Arial" w:cs="Arial"/>
                <w:bCs/>
                <w:noProof/>
                <w:color w:val="FFFFFF" w:themeColor="background1"/>
                <w:sz w:val="16"/>
                <w:szCs w:val="16"/>
                <w:lang w:val="de-DE" w:eastAsia="de-DE"/>
              </w:rPr>
              <mc:AlternateContent>
                <mc:Choice Requires="wps">
                  <w:drawing>
                    <wp:anchor distT="0" distB="0" distL="114300" distR="114300" simplePos="0" relativeHeight="251658248" behindDoc="0" locked="0" layoutInCell="1" allowOverlap="1" wp14:anchorId="3048D1DE" wp14:editId="3233D158">
                      <wp:simplePos x="0" y="0"/>
                      <wp:positionH relativeFrom="column">
                        <wp:posOffset>55657</wp:posOffset>
                      </wp:positionH>
                      <wp:positionV relativeFrom="paragraph">
                        <wp:posOffset>84455</wp:posOffset>
                      </wp:positionV>
                      <wp:extent cx="4335863" cy="5024"/>
                      <wp:effectExtent l="38100" t="76200" r="26670" b="90805"/>
                      <wp:wrapNone/>
                      <wp:docPr id="1" name="Gerade Verbindung mit Pfeil 1"/>
                      <wp:cNvGraphicFramePr/>
                      <a:graphic xmlns:a="http://schemas.openxmlformats.org/drawingml/2006/main">
                        <a:graphicData uri="http://schemas.microsoft.com/office/word/2010/wordprocessingShape">
                          <wps:wsp>
                            <wps:cNvCnPr/>
                            <wps:spPr>
                              <a:xfrm flipV="1">
                                <a:off x="0" y="0"/>
                                <a:ext cx="4335863" cy="5024"/>
                              </a:xfrm>
                              <a:prstGeom prst="straightConnector1">
                                <a:avLst/>
                              </a:prstGeom>
                              <a:ln>
                                <a:solidFill>
                                  <a:schemeClr val="bg1"/>
                                </a:solidFill>
                                <a:prstDash val="sys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792973D6" id="_x0000_t32" coordsize="21600,21600" o:spt="32" o:oned="t" path="m,l21600,21600e" filled="f">
                      <v:path arrowok="t" fillok="f" o:connecttype="none"/>
                      <o:lock v:ext="edit" shapetype="t"/>
                    </v:shapetype>
                    <v:shape id="Gerade Verbindung mit Pfeil 1" o:spid="_x0000_s1026" type="#_x0000_t32" style="position:absolute;margin-left:4.4pt;margin-top:6.65pt;width:341.4pt;height:.4pt;flip:y;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" strokecolor="white [3212]">
                      <v:stroke dashstyle="3 1" startarrow="block" endarrow="block"/>
                    </v:shape>
                  </w:pict>
                </mc:Fallback>
              </mc:AlternateContent>
            </w:r>
          </w:p>
          <w:p w14:paraId="2A0ED467" w14:textId="35A46006" w:rsidR="00466032" w:rsidRPr="004A55C1" w:rsidRDefault="00466032" w:rsidP="00466032">
            <w:pPr>
              <w:ind w:left="102"/>
              <w:jc w:val="both"/>
              <w:rPr>
                <w:rFonts w:ascii="Arial" w:hAnsi="Arial" w:cs="Arial"/>
                <w:bCs/>
                <w:color w:val="FFFFFF" w:themeColor="background1"/>
                <w:sz w:val="16"/>
                <w:szCs w:val="16"/>
                <w:lang w:val="de-DE"/>
              </w:rPr>
            </w:pPr>
            <w:r w:rsidRPr="004A55C1">
              <w:rPr>
                <w:rFonts w:ascii="Arial" w:hAnsi="Arial" w:cs="Arial"/>
                <w:bCs/>
                <w:color w:val="FFFFFF" w:themeColor="background1"/>
                <w:sz w:val="16"/>
                <w:szCs w:val="16"/>
                <w:lang w:val="de-DE"/>
              </w:rPr>
              <w:t>Niedriges Risiko</w:t>
            </w:r>
            <w:r w:rsidRPr="004A55C1">
              <w:rPr>
                <w:rFonts w:ascii="Arial" w:hAnsi="Arial" w:cs="Arial"/>
                <w:bCs/>
                <w:color w:val="FFFFFF" w:themeColor="background1"/>
                <w:sz w:val="16"/>
                <w:szCs w:val="16"/>
                <w:lang w:val="de-DE"/>
              </w:rPr>
              <w:tab/>
            </w:r>
            <w:r w:rsidRPr="004A55C1">
              <w:rPr>
                <w:rFonts w:ascii="Arial" w:hAnsi="Arial" w:cs="Arial"/>
                <w:bCs/>
                <w:color w:val="FFFFFF" w:themeColor="background1"/>
                <w:sz w:val="16"/>
                <w:szCs w:val="16"/>
                <w:lang w:val="de-DE"/>
              </w:rPr>
              <w:tab/>
            </w:r>
            <w:r w:rsidRPr="004A55C1">
              <w:rPr>
                <w:rFonts w:ascii="Arial" w:hAnsi="Arial" w:cs="Arial"/>
                <w:bCs/>
                <w:color w:val="FFFFFF" w:themeColor="background1"/>
                <w:sz w:val="16"/>
                <w:szCs w:val="16"/>
                <w:lang w:val="de-DE"/>
              </w:rPr>
              <w:tab/>
            </w:r>
            <w:r w:rsidRPr="004A55C1">
              <w:rPr>
                <w:rFonts w:ascii="Arial" w:hAnsi="Arial" w:cs="Arial"/>
                <w:bCs/>
                <w:color w:val="FFFFFF" w:themeColor="background1"/>
                <w:sz w:val="16"/>
                <w:szCs w:val="16"/>
                <w:lang w:val="de-DE"/>
              </w:rPr>
              <w:tab/>
            </w:r>
            <w:r w:rsidRPr="004A55C1">
              <w:rPr>
                <w:rFonts w:ascii="Arial" w:hAnsi="Arial" w:cs="Arial"/>
                <w:bCs/>
                <w:color w:val="FFFFFF" w:themeColor="background1"/>
                <w:sz w:val="16"/>
                <w:szCs w:val="16"/>
                <w:lang w:val="de-DE"/>
              </w:rPr>
              <w:tab/>
            </w:r>
            <w:r w:rsidR="00AD6A7F">
              <w:rPr>
                <w:rFonts w:ascii="Arial" w:hAnsi="Arial" w:cs="Arial"/>
                <w:bCs/>
                <w:color w:val="FFFFFF" w:themeColor="background1"/>
                <w:sz w:val="16"/>
                <w:szCs w:val="16"/>
                <w:lang w:val="de-DE"/>
              </w:rPr>
              <w:tab/>
            </w:r>
            <w:r w:rsidR="00AD6A7F">
              <w:rPr>
                <w:rFonts w:ascii="Arial" w:hAnsi="Arial" w:cs="Arial"/>
                <w:bCs/>
                <w:color w:val="FFFFFF" w:themeColor="background1"/>
                <w:sz w:val="16"/>
                <w:szCs w:val="16"/>
                <w:lang w:val="de-DE"/>
              </w:rPr>
              <w:tab/>
            </w:r>
            <w:r w:rsidRPr="004A55C1">
              <w:rPr>
                <w:rFonts w:ascii="Arial" w:hAnsi="Arial" w:cs="Arial"/>
                <w:bCs/>
                <w:color w:val="FFFFFF" w:themeColor="background1"/>
                <w:sz w:val="16"/>
                <w:szCs w:val="16"/>
                <w:lang w:val="de-DE"/>
              </w:rPr>
              <w:t>Höheres Risiko</w:t>
            </w:r>
          </w:p>
          <w:p w14:paraId="6B7AB17B" w14:textId="5651945D" w:rsidR="00466032" w:rsidRPr="004A55C1" w:rsidRDefault="00216C02" w:rsidP="00466032">
            <w:pPr>
              <w:ind w:left="1236"/>
              <w:jc w:val="both"/>
              <w:rPr>
                <w:rFonts w:ascii="Arial" w:hAnsi="Arial" w:cs="Arial"/>
                <w:bCs/>
                <w:color w:val="FFFFFF" w:themeColor="background1"/>
                <w:sz w:val="16"/>
                <w:szCs w:val="16"/>
                <w:lang w:val="de-DE"/>
              </w:rPr>
            </w:pPr>
            <w:r>
              <w:rPr>
                <w:rFonts w:ascii="Arial" w:hAnsi="Arial" w:cs="Arial"/>
                <w:bCs/>
                <w:noProof/>
                <w:color w:val="FFFFFF" w:themeColor="background1"/>
                <w:sz w:val="16"/>
                <w:szCs w:val="16"/>
                <w:lang w:val="de-DE"/>
              </w:rPr>
              <mc:AlternateContent>
                <mc:Choice Requires="wps">
                  <w:drawing>
                    <wp:anchor distT="0" distB="0" distL="114300" distR="114300" simplePos="0" relativeHeight="251660296" behindDoc="0" locked="0" layoutInCell="1" allowOverlap="1" wp14:anchorId="3B9A7E26" wp14:editId="303FFCF5">
                      <wp:simplePos x="0" y="0"/>
                      <wp:positionH relativeFrom="column">
                        <wp:posOffset>49530</wp:posOffset>
                      </wp:positionH>
                      <wp:positionV relativeFrom="paragraph">
                        <wp:posOffset>11430</wp:posOffset>
                      </wp:positionV>
                      <wp:extent cx="586854" cy="518615"/>
                      <wp:effectExtent l="0" t="0" r="22860" b="15240"/>
                      <wp:wrapNone/>
                      <wp:docPr id="2" name="Gleichschenkliges Dreieck 2"/>
                      <wp:cNvGraphicFramePr/>
                      <a:graphic xmlns:a="http://schemas.openxmlformats.org/drawingml/2006/main">
                        <a:graphicData uri="http://schemas.microsoft.com/office/word/2010/wordprocessingShape">
                          <wps:wsp>
                            <wps:cNvSpPr/>
                            <wps:spPr>
                              <a:xfrm>
                                <a:off x="0" y="0"/>
                                <a:ext cx="586854" cy="518615"/>
                              </a:xfrm>
                              <a:prstGeom prst="triangl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6341B" w14:textId="61EC9925" w:rsidR="00216C02" w:rsidRDefault="00216C02" w:rsidP="00216C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A7E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 o:spid="_x0000_s1033" type="#_x0000_t5" style="position:absolute;left:0;text-align:left;margin-left:3.9pt;margin-top:.9pt;width:46.2pt;height:40.8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" fillcolor="yellow" strokecolor="yellow" strokeweight="2pt">
                      <v:textbox>
                        <w:txbxContent>
                          <w:p w14:paraId="7626341B" w14:textId="61EC9925" w:rsidR="00216C02" w:rsidRDefault="00216C02" w:rsidP="00216C02">
                            <w:pPr>
                              <w:jc w:val="center"/>
                            </w:pPr>
                          </w:p>
                        </w:txbxContent>
                      </v:textbox>
                    </v:shape>
                  </w:pict>
                </mc:Fallback>
              </mc:AlternateContent>
            </w:r>
          </w:p>
          <w:p w14:paraId="16B497DD" w14:textId="51A89628" w:rsidR="00237151" w:rsidRPr="00720E1E" w:rsidRDefault="00216C02" w:rsidP="007F545B">
            <w:pPr>
              <w:ind w:left="1236"/>
              <w:jc w:val="both"/>
              <w:rPr>
                <w:rFonts w:ascii="Arial" w:hAnsi="Arial" w:cs="Arial"/>
                <w:b/>
                <w:color w:val="FFFFFF" w:themeColor="background1"/>
                <w:sz w:val="16"/>
                <w:szCs w:val="16"/>
                <w:lang w:val="de-DE"/>
              </w:rPr>
            </w:pPr>
            <w:r w:rsidRPr="00720E1E">
              <w:rPr>
                <w:rFonts w:ascii="Arial" w:hAnsi="Arial" w:cs="Arial"/>
                <w:b/>
                <w:noProof/>
                <w:color w:val="FFFFFF" w:themeColor="background1"/>
                <w:sz w:val="16"/>
                <w:szCs w:val="16"/>
                <w:lang w:val="de-DE"/>
              </w:rPr>
              <mc:AlternateContent>
                <mc:Choice Requires="wps">
                  <w:drawing>
                    <wp:anchor distT="0" distB="0" distL="114300" distR="114300" simplePos="0" relativeHeight="251662344" behindDoc="0" locked="0" layoutInCell="1" allowOverlap="1" wp14:anchorId="1747F6A2" wp14:editId="287DC053">
                      <wp:simplePos x="0" y="0"/>
                      <wp:positionH relativeFrom="column">
                        <wp:posOffset>317500</wp:posOffset>
                      </wp:positionH>
                      <wp:positionV relativeFrom="paragraph">
                        <wp:posOffset>315595</wp:posOffset>
                      </wp:positionV>
                      <wp:extent cx="45719" cy="45719"/>
                      <wp:effectExtent l="0" t="0" r="12065" b="12065"/>
                      <wp:wrapNone/>
                      <wp:docPr id="6" name="Ellipse 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3B5E3756" w14:textId="77777777" w:rsidR="00B8303F" w:rsidRDefault="00B8303F" w:rsidP="00B830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47F6A2" id="Ellipse 6" o:spid="_x0000_s1034" style="position:absolute;left:0;text-align:left;margin-left:25pt;margin-top:24.85pt;width:3.6pt;height:3.6pt;z-index:251662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" fillcolor="black [3200]" strokecolor="black [1600]" strokeweight="2pt">
                      <v:textbox>
                        <w:txbxContent>
                          <w:p w14:paraId="3B5E3756" w14:textId="77777777" w:rsidR="00B8303F" w:rsidRDefault="00B8303F" w:rsidP="00B8303F">
                            <w:pPr>
                              <w:jc w:val="center"/>
                            </w:pPr>
                          </w:p>
                        </w:txbxContent>
                      </v:textbox>
                    </v:oval>
                  </w:pict>
                </mc:Fallback>
              </mc:AlternateContent>
            </w:r>
            <w:r w:rsidRPr="00720E1E">
              <w:rPr>
                <w:rFonts w:ascii="Arial" w:hAnsi="Arial" w:cs="Arial"/>
                <w:b/>
                <w:noProof/>
                <w:color w:val="FFFFFF" w:themeColor="background1"/>
                <w:sz w:val="16"/>
                <w:szCs w:val="16"/>
                <w:lang w:val="de-DE"/>
              </w:rPr>
              <mc:AlternateContent>
                <mc:Choice Requires="wps">
                  <w:drawing>
                    <wp:anchor distT="0" distB="0" distL="114300" distR="114300" simplePos="0" relativeHeight="251661320" behindDoc="0" locked="0" layoutInCell="1" allowOverlap="1" wp14:anchorId="6A92CFC1" wp14:editId="7D85751E">
                      <wp:simplePos x="0" y="0"/>
                      <wp:positionH relativeFrom="column">
                        <wp:posOffset>342900</wp:posOffset>
                      </wp:positionH>
                      <wp:positionV relativeFrom="paragraph">
                        <wp:posOffset>36195</wp:posOffset>
                      </wp:positionV>
                      <wp:extent cx="0" cy="215900"/>
                      <wp:effectExtent l="76200" t="19050" r="76200" b="88900"/>
                      <wp:wrapNone/>
                      <wp:docPr id="5" name="Gerader Verbinder 5"/>
                      <wp:cNvGraphicFramePr/>
                      <a:graphic xmlns:a="http://schemas.openxmlformats.org/drawingml/2006/main">
                        <a:graphicData uri="http://schemas.microsoft.com/office/word/2010/wordprocessingShape">
                          <wps:wsp>
                            <wps:cNvCnPr/>
                            <wps:spPr>
                              <a:xfrm>
                                <a:off x="0" y="0"/>
                                <a:ext cx="0" cy="215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du="http://schemas.microsoft.com/office/word/2023/wordml/word16du">
                  <w:pict>
                    <v:line w14:anchorId="4FFA16A3" id="Gerader Verbinder 5" o:spid="_x0000_s1026" style="position:absolute;z-index:251661320;visibility:visible;mso-wrap-style:square;mso-wrap-distance-left:9pt;mso-wrap-distance-top:0;mso-wrap-distance-right:9pt;mso-wrap-distance-bottom:0;mso-position-horizontal:absolute;mso-position-horizontal-relative:text;mso-position-vertical:absolute;mso-position-vertical-relative:text" from="27pt,2.85pt" to="2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" strokecolor="black [3200]" strokeweight="3pt">
                      <v:shadow on="t" color="black" opacity="22937f" origin=",.5" offset="0,.63889mm"/>
                    </v:line>
                  </w:pict>
                </mc:Fallback>
              </mc:AlternateContent>
            </w:r>
            <w:r w:rsidR="00F030EC" w:rsidRPr="00720E1E">
              <w:rPr>
                <w:rFonts w:ascii="Arial" w:hAnsi="Arial" w:cs="Arial"/>
                <w:b/>
                <w:color w:val="FFFFFF" w:themeColor="background1"/>
                <w:sz w:val="16"/>
                <w:szCs w:val="16"/>
                <w:lang w:val="de-DE"/>
              </w:rPr>
              <w:t xml:space="preserve">Dieser Risikoindikator beruht auf der Annahme, dass Sie das Produkt bis </w:t>
            </w:r>
            <w:r w:rsidR="00466032" w:rsidRPr="00720E1E">
              <w:rPr>
                <w:rFonts w:ascii="Arial" w:hAnsi="Arial" w:cs="Arial"/>
                <w:b/>
                <w:color w:val="FFFFFF" w:themeColor="background1"/>
                <w:sz w:val="16"/>
                <w:szCs w:val="16"/>
                <w:lang w:val="de-DE"/>
              </w:rPr>
              <w:t xml:space="preserve">zum </w:t>
            </w:r>
            <w:r w:rsidR="007321F9">
              <w:rPr>
                <w:rFonts w:ascii="Arial" w:hAnsi="Arial"/>
                <w:b/>
                <w:color w:val="FFFFFF" w:themeColor="background1"/>
                <w:sz w:val="16"/>
                <w:lang w:val="de-DE"/>
              </w:rPr>
              <w:t>14. September 2025</w:t>
            </w:r>
            <w:r w:rsidR="00F767EB" w:rsidRPr="00720E1E">
              <w:rPr>
                <w:rFonts w:ascii="Arial" w:hAnsi="Arial"/>
                <w:b/>
                <w:color w:val="FFFFFF" w:themeColor="background1"/>
                <w:sz w:val="16"/>
                <w:lang w:val="de-DE"/>
              </w:rPr>
              <w:t xml:space="preserve"> </w:t>
            </w:r>
            <w:r w:rsidR="00F030EC" w:rsidRPr="00720E1E">
              <w:rPr>
                <w:rFonts w:ascii="Arial" w:hAnsi="Arial" w:cs="Arial"/>
                <w:b/>
                <w:color w:val="FFFFFF" w:themeColor="background1"/>
                <w:sz w:val="16"/>
                <w:szCs w:val="16"/>
                <w:lang w:val="de-DE"/>
              </w:rPr>
              <w:t xml:space="preserve">halten. </w:t>
            </w:r>
            <w:r w:rsidR="007F545B" w:rsidRPr="00720E1E">
              <w:rPr>
                <w:rFonts w:ascii="Arial" w:hAnsi="Arial" w:cs="Arial"/>
                <w:b/>
                <w:color w:val="FFFFFF" w:themeColor="background1"/>
                <w:sz w:val="16"/>
                <w:szCs w:val="16"/>
                <w:lang w:val="de-DE"/>
              </w:rPr>
              <w:t>Sie können das Produkt nicht frühzeitig einlösen. Sie können Ihr Produkt möglicherweise nicht ohne Weiteres verkaufen oder Sie müssen es unter Umständen zu einem Preis verkaufen, der sich erheblich auf Ihren Erlös auswirkt.</w:t>
            </w:r>
          </w:p>
          <w:p w14:paraId="3A7FFA17" w14:textId="343C9C5E" w:rsidR="00237151" w:rsidRPr="004A55C1" w:rsidRDefault="007F545B" w:rsidP="0024790E">
            <w:pPr>
              <w:ind w:left="1236"/>
              <w:jc w:val="both"/>
              <w:rPr>
                <w:rFonts w:ascii="Arial" w:hAnsi="Arial" w:cs="Arial"/>
                <w:bCs/>
                <w:color w:val="FFFFFF" w:themeColor="background1"/>
                <w:sz w:val="16"/>
                <w:szCs w:val="16"/>
                <w:lang w:val="de-DE"/>
              </w:rPr>
            </w:pPr>
            <w:r w:rsidRPr="00720E1E">
              <w:rPr>
                <w:rFonts w:ascii="Arial" w:hAnsi="Arial" w:cs="Arial"/>
                <w:b/>
                <w:color w:val="FFFFFF" w:themeColor="background1"/>
                <w:sz w:val="16"/>
                <w:szCs w:val="16"/>
                <w:lang w:val="de-DE"/>
              </w:rPr>
              <w:t xml:space="preserve">Der Risikoindikator beruht auf der Annahme, dass Sie das Produkt </w:t>
            </w:r>
            <w:r w:rsidR="007321F9">
              <w:rPr>
                <w:rFonts w:ascii="Arial" w:hAnsi="Arial" w:cs="Arial"/>
                <w:b/>
                <w:color w:val="FFFFFF" w:themeColor="background1"/>
                <w:sz w:val="16"/>
                <w:szCs w:val="16"/>
                <w:lang w:val="de-DE"/>
              </w:rPr>
              <w:t>2 Jahre</w:t>
            </w:r>
            <w:r w:rsidR="00F44B1F" w:rsidRPr="00F44B1F">
              <w:rPr>
                <w:rFonts w:ascii="Arial" w:hAnsi="Arial" w:cs="Arial"/>
                <w:b/>
                <w:color w:val="FFFFFF" w:themeColor="background1"/>
                <w:sz w:val="16"/>
                <w:szCs w:val="16"/>
                <w:lang w:val="de-DE"/>
              </w:rPr>
              <w:t xml:space="preserve"> </w:t>
            </w:r>
            <w:r w:rsidRPr="00720E1E">
              <w:rPr>
                <w:rFonts w:ascii="Arial" w:hAnsi="Arial" w:cs="Arial"/>
                <w:b/>
                <w:color w:val="FFFFFF" w:themeColor="background1"/>
                <w:sz w:val="16"/>
                <w:szCs w:val="16"/>
                <w:lang w:val="de-DE"/>
              </w:rPr>
              <w:t>halten.</w:t>
            </w:r>
          </w:p>
        </w:tc>
      </w:tr>
      <w:tr w:rsidR="00216C02" w:rsidRPr="009D74D1" w14:paraId="72CCAAB6" w14:textId="77777777" w:rsidTr="00720E1E">
        <w:trPr>
          <w:trHeight w:val="279"/>
        </w:trPr>
        <w:tc>
          <w:tcPr>
            <w:tcW w:w="11483" w:type="dxa"/>
            <w:gridSpan w:val="3"/>
            <w:tcBorders>
              <w:left w:val="nil"/>
              <w:bottom w:val="single" w:sz="4" w:space="0" w:color="auto"/>
              <w:right w:val="nil"/>
            </w:tcBorders>
            <w:shd w:val="clear" w:color="auto" w:fill="548DD4" w:themeFill="text2" w:themeFillTint="99"/>
          </w:tcPr>
          <w:p w14:paraId="5D917515" w14:textId="70C9586A" w:rsidR="007321F9" w:rsidRPr="007321F9" w:rsidRDefault="007321F9" w:rsidP="007321F9">
            <w:pPr>
              <w:jc w:val="both"/>
              <w:rPr>
                <w:rFonts w:ascii="Arial" w:hAnsi="Arial" w:cs="Arial"/>
                <w:color w:val="FFFFFF" w:themeColor="background1"/>
                <w:sz w:val="16"/>
                <w:szCs w:val="16"/>
                <w:lang w:val="de-DE"/>
              </w:rPr>
            </w:pPr>
            <w:r w:rsidRPr="007321F9">
              <w:rPr>
                <w:rFonts w:ascii="Arial" w:hAnsi="Arial" w:cs="Arial"/>
                <w:color w:val="FFFFFF" w:themeColor="background1"/>
                <w:sz w:val="16"/>
                <w:szCs w:val="16"/>
                <w:lang w:val="de-DE"/>
              </w:rPr>
              <w:t xml:space="preserve">Der Gesamtrisikoindikator hilft Ihnen, das mit diesem Produkt verbundene Risiko im Vergleich zu anderen Produkten einzuschätzen. Er zeigt, wie hoch die Wahrscheinlichkeit ist, dass Sie bei diesem Produkt Geld verlieren, weil sich die Märkte in einer bestimmten Weise entwickeln oder wir nicht in der Lage sind, Sie auszubezahlen. Wir haben dieses Produkt auf einer Skala von 1 bis 7 in die Risikoklasse </w:t>
            </w:r>
            <w:r>
              <w:rPr>
                <w:rFonts w:ascii="Arial" w:hAnsi="Arial" w:cs="Arial"/>
                <w:color w:val="FFFFFF" w:themeColor="background1"/>
                <w:sz w:val="16"/>
                <w:szCs w:val="16"/>
                <w:lang w:val="de-DE"/>
              </w:rPr>
              <w:t xml:space="preserve">5 </w:t>
            </w:r>
            <w:r w:rsidRPr="007321F9">
              <w:rPr>
                <w:rFonts w:ascii="Arial" w:hAnsi="Arial" w:cs="Arial"/>
                <w:color w:val="FFFFFF" w:themeColor="background1"/>
                <w:sz w:val="16"/>
                <w:szCs w:val="16"/>
                <w:lang w:val="de-DE"/>
              </w:rPr>
              <w:t xml:space="preserve">eingestuft, wobei 5 einer mittelhohen Risikoklasse entspricht. Das Risiko potenzieller Verluste wird als </w:t>
            </w:r>
            <w:r>
              <w:rPr>
                <w:rFonts w:ascii="Arial" w:hAnsi="Arial" w:cs="Arial"/>
                <w:color w:val="FFFFFF" w:themeColor="background1"/>
                <w:sz w:val="16"/>
                <w:szCs w:val="16"/>
                <w:lang w:val="de-DE"/>
              </w:rPr>
              <w:t>mittel</w:t>
            </w:r>
            <w:r w:rsidRPr="007321F9">
              <w:rPr>
                <w:rFonts w:ascii="Arial" w:hAnsi="Arial" w:cs="Arial"/>
                <w:color w:val="FFFFFF" w:themeColor="background1"/>
                <w:sz w:val="16"/>
                <w:szCs w:val="16"/>
                <w:lang w:val="de-DE"/>
              </w:rPr>
              <w:t>hoch eingestuft. Bei ungünstigen Entwicklungen ist es sehr wahrscheinlich, dass die Emittentin nicht in der Lage ist, irgendwelche Zahlungen an Sie vorzunehmen.</w:t>
            </w:r>
          </w:p>
          <w:p w14:paraId="30459A3F" w14:textId="77777777" w:rsidR="007321F9" w:rsidRPr="007321F9" w:rsidRDefault="007321F9" w:rsidP="007321F9">
            <w:pPr>
              <w:jc w:val="both"/>
              <w:rPr>
                <w:rFonts w:ascii="Arial" w:hAnsi="Arial" w:cs="Arial"/>
                <w:color w:val="FFFFFF" w:themeColor="background1"/>
                <w:sz w:val="16"/>
                <w:szCs w:val="16"/>
                <w:lang w:val="de-DE"/>
              </w:rPr>
            </w:pPr>
            <w:r w:rsidRPr="007321F9">
              <w:rPr>
                <w:rFonts w:ascii="Arial" w:hAnsi="Arial" w:cs="Arial"/>
                <w:color w:val="FFFFFF" w:themeColor="background1"/>
                <w:sz w:val="16"/>
                <w:szCs w:val="16"/>
                <w:lang w:val="de-DE"/>
              </w:rPr>
              <w:t>Dieses Produkt beinhaltet keinen Schutz vor künftigen Marktentwicklungen, sodass Anleger das angelegte Kapital ganz oder teilweise verlieren könnten. Wenn wir Ihnen nicht das zahlen können, was Ihnen zusteht, könnten Sie das gesamte angelegte Kapital verlieren.</w:t>
            </w:r>
          </w:p>
          <w:p w14:paraId="30882A54" w14:textId="0C7449CC" w:rsidR="00216C02" w:rsidRPr="007321F9" w:rsidRDefault="007321F9" w:rsidP="007321F9">
            <w:pPr>
              <w:jc w:val="both"/>
              <w:rPr>
                <w:rFonts w:ascii="Arial" w:hAnsi="Arial" w:cs="Arial"/>
                <w:color w:val="FFFFFF" w:themeColor="background1"/>
                <w:sz w:val="16"/>
                <w:szCs w:val="16"/>
                <w:lang w:val="de-DE"/>
              </w:rPr>
            </w:pPr>
            <w:r w:rsidRPr="007321F9">
              <w:rPr>
                <w:rFonts w:ascii="Arial" w:hAnsi="Arial" w:cs="Arial"/>
                <w:color w:val="FFFFFF" w:themeColor="background1"/>
                <w:sz w:val="16"/>
                <w:szCs w:val="16"/>
                <w:lang w:val="de-DE"/>
              </w:rPr>
              <w:t xml:space="preserve">Das Produkt wurde in Euro begeben. Ist der Euro für Sie eine Fremdwährung, sind Sie einem Währungsrisiko ausgesetzt. Die Wechselkursschwankungen können zu Gewinnen oder Verlusten beim Anlagebetrag führen. Die Veräußerbarkeit des Produktes ist eingeschränkt, da die </w:t>
            </w:r>
            <w:r w:rsidR="009D74D1">
              <w:rPr>
                <w:rFonts w:ascii="Arial" w:hAnsi="Arial" w:cs="Arial"/>
                <w:color w:val="FFFFFF" w:themeColor="background1"/>
                <w:sz w:val="16"/>
                <w:szCs w:val="16"/>
                <w:lang w:val="de-DE"/>
              </w:rPr>
              <w:t>Teils</w:t>
            </w:r>
            <w:r w:rsidRPr="007321F9">
              <w:rPr>
                <w:rFonts w:ascii="Arial" w:hAnsi="Arial" w:cs="Arial"/>
                <w:color w:val="FFFFFF" w:themeColor="background1"/>
                <w:sz w:val="16"/>
                <w:szCs w:val="16"/>
                <w:lang w:val="de-DE"/>
              </w:rPr>
              <w:t>chuldverschreibungen nicht an einem geregelten Markt notiert bzw. zum Handel an einer Börse einbezogen sind.</w:t>
            </w:r>
          </w:p>
        </w:tc>
      </w:tr>
      <w:tr w:rsidR="004A55C1" w:rsidRPr="004A55C1" w14:paraId="43C3BA2A" w14:textId="77777777" w:rsidTr="00720E1E">
        <w:trPr>
          <w:trHeight w:val="279"/>
        </w:trPr>
        <w:tc>
          <w:tcPr>
            <w:tcW w:w="11483" w:type="dxa"/>
            <w:gridSpan w:val="3"/>
            <w:tcBorders>
              <w:left w:val="nil"/>
              <w:bottom w:val="single" w:sz="4" w:space="0" w:color="auto"/>
              <w:right w:val="nil"/>
            </w:tcBorders>
            <w:shd w:val="clear" w:color="auto" w:fill="FFFFFF" w:themeFill="background1"/>
          </w:tcPr>
          <w:p w14:paraId="21DB8D18" w14:textId="77777777" w:rsidR="007321F9" w:rsidRDefault="007321F9" w:rsidP="00E16415">
            <w:pPr>
              <w:jc w:val="both"/>
              <w:rPr>
                <w:rFonts w:ascii="Arial" w:hAnsi="Arial" w:cs="Arial"/>
                <w:b/>
                <w:bCs/>
                <w:color w:val="8DB3E2" w:themeColor="text2" w:themeTint="66"/>
                <w:sz w:val="16"/>
                <w:szCs w:val="16"/>
                <w:lang w:val="de-DE"/>
              </w:rPr>
            </w:pPr>
          </w:p>
          <w:p w14:paraId="5BA49C62" w14:textId="21FA7EB4" w:rsidR="004A55C1" w:rsidRPr="006439B7" w:rsidRDefault="004A55C1" w:rsidP="00E16415">
            <w:pPr>
              <w:jc w:val="both"/>
              <w:rPr>
                <w:rFonts w:ascii="Arial" w:hAnsi="Arial" w:cs="Arial"/>
                <w:b/>
                <w:bCs/>
                <w:color w:val="8DB3E2" w:themeColor="text2" w:themeTint="66"/>
                <w:sz w:val="16"/>
                <w:szCs w:val="16"/>
                <w:lang w:val="de-DE"/>
              </w:rPr>
            </w:pPr>
            <w:r w:rsidRPr="006439B7">
              <w:rPr>
                <w:rFonts w:ascii="Arial" w:hAnsi="Arial" w:cs="Arial"/>
                <w:b/>
                <w:bCs/>
                <w:color w:val="8DB3E2" w:themeColor="text2" w:themeTint="66"/>
                <w:sz w:val="16"/>
                <w:szCs w:val="16"/>
                <w:lang w:val="de-DE"/>
              </w:rPr>
              <w:t>Performance-Szenarien</w:t>
            </w:r>
          </w:p>
          <w:p w14:paraId="7B07F677" w14:textId="77777777" w:rsidR="007321F9" w:rsidRDefault="007321F9" w:rsidP="006439B7">
            <w:pPr>
              <w:jc w:val="both"/>
              <w:rPr>
                <w:rFonts w:ascii="Arial" w:hAnsi="Arial" w:cs="Arial"/>
                <w:b/>
                <w:bCs/>
                <w:sz w:val="16"/>
                <w:szCs w:val="16"/>
                <w:lang w:val="de-DE"/>
              </w:rPr>
            </w:pPr>
          </w:p>
          <w:p w14:paraId="7B0611C9" w14:textId="5113AE06" w:rsidR="001D49E7" w:rsidRDefault="006439B7" w:rsidP="006439B7">
            <w:pPr>
              <w:jc w:val="both"/>
              <w:rPr>
                <w:rFonts w:ascii="Arial" w:hAnsi="Arial" w:cs="Arial"/>
                <w:b/>
                <w:bCs/>
                <w:sz w:val="16"/>
                <w:szCs w:val="16"/>
                <w:lang w:val="de-DE"/>
              </w:rPr>
            </w:pPr>
            <w:r w:rsidRPr="006439B7">
              <w:rPr>
                <w:rFonts w:ascii="Arial" w:hAnsi="Arial" w:cs="Arial"/>
                <w:b/>
                <w:bCs/>
                <w:sz w:val="16"/>
                <w:szCs w:val="16"/>
                <w:lang w:val="de-DE"/>
              </w:rPr>
              <w:t>Was Sie bei diesem Produkt am Ende herausbekommen, hängt von der künftigen Marktentwicklung ab. Die künftige Marktentwicklung ist ungewiss und lässt sich nicht mit Bestimmtheit vorhersagen.</w:t>
            </w:r>
          </w:p>
          <w:p w14:paraId="0433B7F0" w14:textId="77777777" w:rsidR="005828E8" w:rsidRDefault="005828E8" w:rsidP="006439B7">
            <w:pPr>
              <w:jc w:val="both"/>
              <w:rPr>
                <w:rFonts w:ascii="Arial" w:hAnsi="Arial" w:cs="Arial"/>
                <w:b/>
                <w:bCs/>
                <w:sz w:val="16"/>
                <w:szCs w:val="16"/>
                <w:lang w:val="de-DE"/>
              </w:rPr>
            </w:pPr>
          </w:p>
          <w:tbl>
            <w:tblPr>
              <w:tblStyle w:val="Tabellenraster"/>
              <w:tblW w:w="11229" w:type="dxa"/>
              <w:tblLayout w:type="fixed"/>
              <w:tblLook w:val="04A0" w:firstRow="1" w:lastRow="0" w:firstColumn="1" w:lastColumn="0" w:noHBand="0" w:noVBand="1"/>
            </w:tblPr>
            <w:tblGrid>
              <w:gridCol w:w="2269"/>
              <w:gridCol w:w="5103"/>
              <w:gridCol w:w="741"/>
              <w:gridCol w:w="3116"/>
            </w:tblGrid>
            <w:tr w:rsidR="00D43547" w:rsidRPr="009D74D1" w14:paraId="105BC6B7" w14:textId="38DF1532" w:rsidTr="007A4E0C">
              <w:trPr>
                <w:trHeight w:val="279"/>
              </w:trPr>
              <w:tc>
                <w:tcPr>
                  <w:tcW w:w="11229" w:type="dxa"/>
                  <w:gridSpan w:val="4"/>
                  <w:tcBorders>
                    <w:top w:val="nil"/>
                    <w:left w:val="nil"/>
                    <w:bottom w:val="single" w:sz="2" w:space="0" w:color="auto"/>
                    <w:right w:val="single" w:sz="2" w:space="0" w:color="auto"/>
                  </w:tcBorders>
                  <w:shd w:val="clear" w:color="auto" w:fill="8DB3E2" w:themeFill="text2" w:themeFillTint="66"/>
                </w:tcPr>
                <w:p w14:paraId="639EA4DC" w14:textId="2934A7A7" w:rsidR="00D43547" w:rsidRPr="004A55C1" w:rsidRDefault="00D43547" w:rsidP="006439B7">
                  <w:pPr>
                    <w:jc w:val="both"/>
                    <w:rPr>
                      <w:rFonts w:ascii="Arial" w:hAnsi="Arial" w:cs="Arial"/>
                      <w:b/>
                      <w:bCs/>
                      <w:sz w:val="16"/>
                      <w:szCs w:val="16"/>
                      <w:lang w:val="de-DE"/>
                    </w:rPr>
                  </w:pPr>
                  <w:r>
                    <w:rPr>
                      <w:rFonts w:ascii="Arial" w:hAnsi="Arial" w:cs="Arial"/>
                      <w:b/>
                      <w:bCs/>
                      <w:sz w:val="16"/>
                      <w:szCs w:val="16"/>
                      <w:lang w:val="de-DE"/>
                    </w:rPr>
                    <w:t>Empfohlene Haltedauer:</w:t>
                  </w:r>
                  <w:r>
                    <w:rPr>
                      <w:rFonts w:ascii="Arial" w:hAnsi="Arial" w:cs="Arial"/>
                      <w:b/>
                      <w:bCs/>
                      <w:sz w:val="16"/>
                      <w:szCs w:val="16"/>
                      <w:lang w:val="de-DE"/>
                    </w:rPr>
                    <w:tab/>
                    <w:t>Anlagebeispiel</w:t>
                  </w:r>
                </w:p>
                <w:p w14:paraId="613CE48C" w14:textId="2B300CD2" w:rsidR="00D43547" w:rsidRDefault="007321F9" w:rsidP="00D43547">
                  <w:pPr>
                    <w:jc w:val="both"/>
                    <w:rPr>
                      <w:rFonts w:ascii="Arial" w:hAnsi="Arial" w:cs="Arial"/>
                      <w:b/>
                      <w:bCs/>
                      <w:sz w:val="16"/>
                      <w:szCs w:val="16"/>
                      <w:lang w:val="de-DE"/>
                    </w:rPr>
                  </w:pPr>
                  <w:r>
                    <w:rPr>
                      <w:rFonts w:ascii="Arial" w:hAnsi="Arial" w:cs="Arial"/>
                      <w:b/>
                      <w:bCs/>
                      <w:sz w:val="16"/>
                      <w:szCs w:val="16"/>
                      <w:lang w:val="de-DE"/>
                    </w:rPr>
                    <w:t>2 Jahren</w:t>
                  </w:r>
                  <w:r w:rsidR="00D43547">
                    <w:rPr>
                      <w:rFonts w:ascii="Arial" w:hAnsi="Arial" w:cs="Arial"/>
                      <w:b/>
                      <w:bCs/>
                      <w:sz w:val="16"/>
                      <w:szCs w:val="16"/>
                      <w:lang w:val="de-DE"/>
                    </w:rPr>
                    <w:t>:</w:t>
                  </w:r>
                  <w:r w:rsidR="00D43547">
                    <w:rPr>
                      <w:rFonts w:ascii="Arial" w:hAnsi="Arial" w:cs="Arial"/>
                      <w:b/>
                      <w:bCs/>
                      <w:sz w:val="16"/>
                      <w:szCs w:val="16"/>
                      <w:lang w:val="de-DE"/>
                    </w:rPr>
                    <w:tab/>
                    <w:t>EUR 10.000,-</w:t>
                  </w:r>
                </w:p>
              </w:tc>
            </w:tr>
            <w:tr w:rsidR="00F71C19" w:rsidRPr="009D74D1" w14:paraId="1AB7A217" w14:textId="7818B057" w:rsidTr="00D43547">
              <w:trPr>
                <w:trHeight w:val="279"/>
              </w:trPr>
              <w:tc>
                <w:tcPr>
                  <w:tcW w:w="8113" w:type="dxa"/>
                  <w:gridSpan w:val="3"/>
                  <w:tcBorders>
                    <w:top w:val="single" w:sz="2" w:space="0" w:color="auto"/>
                    <w:left w:val="nil"/>
                    <w:bottom w:val="single" w:sz="2" w:space="0" w:color="auto"/>
                    <w:right w:val="single" w:sz="2" w:space="0" w:color="auto"/>
                  </w:tcBorders>
                  <w:shd w:val="clear" w:color="auto" w:fill="8DB3E2" w:themeFill="text2" w:themeFillTint="66"/>
                </w:tcPr>
                <w:p w14:paraId="2BE30B43" w14:textId="77777777" w:rsidR="00F71C19" w:rsidRDefault="00F71C19" w:rsidP="006439B7">
                  <w:pPr>
                    <w:jc w:val="both"/>
                    <w:rPr>
                      <w:rFonts w:ascii="Arial" w:hAnsi="Arial" w:cs="Arial"/>
                      <w:b/>
                      <w:bCs/>
                      <w:sz w:val="16"/>
                      <w:szCs w:val="16"/>
                      <w:lang w:val="de-DE"/>
                    </w:rPr>
                  </w:pPr>
                </w:p>
              </w:tc>
              <w:tc>
                <w:tcPr>
                  <w:tcW w:w="3116" w:type="dxa"/>
                  <w:tcBorders>
                    <w:top w:val="single" w:sz="2" w:space="0" w:color="auto"/>
                    <w:left w:val="single" w:sz="2" w:space="0" w:color="auto"/>
                    <w:bottom w:val="single" w:sz="2" w:space="0" w:color="auto"/>
                    <w:right w:val="single" w:sz="2" w:space="0" w:color="auto"/>
                  </w:tcBorders>
                  <w:shd w:val="clear" w:color="auto" w:fill="8DB3E2" w:themeFill="text2" w:themeFillTint="66"/>
                </w:tcPr>
                <w:p w14:paraId="6631DF82" w14:textId="2DE1724E" w:rsidR="00F71C19" w:rsidRDefault="00F71C19" w:rsidP="006439B7">
                  <w:pPr>
                    <w:jc w:val="both"/>
                    <w:rPr>
                      <w:rFonts w:ascii="Arial" w:hAnsi="Arial" w:cs="Arial"/>
                      <w:b/>
                      <w:bCs/>
                      <w:sz w:val="16"/>
                      <w:szCs w:val="16"/>
                      <w:lang w:val="de-DE"/>
                    </w:rPr>
                  </w:pPr>
                  <w:r>
                    <w:rPr>
                      <w:rFonts w:ascii="Arial" w:hAnsi="Arial" w:cs="Arial"/>
                      <w:b/>
                      <w:bCs/>
                      <w:sz w:val="16"/>
                      <w:szCs w:val="16"/>
                      <w:lang w:val="de-DE"/>
                    </w:rPr>
                    <w:t xml:space="preserve">Wenn Sie nach </w:t>
                  </w:r>
                  <w:r w:rsidR="007321F9">
                    <w:rPr>
                      <w:rFonts w:ascii="Arial" w:hAnsi="Arial" w:cs="Arial"/>
                      <w:b/>
                      <w:bCs/>
                      <w:sz w:val="16"/>
                      <w:szCs w:val="16"/>
                      <w:lang w:val="de-DE"/>
                    </w:rPr>
                    <w:t>2</w:t>
                  </w:r>
                  <w:r w:rsidR="00F44B1F" w:rsidRPr="00F44B1F">
                    <w:rPr>
                      <w:rFonts w:ascii="Arial" w:hAnsi="Arial" w:cs="Arial"/>
                      <w:b/>
                      <w:bCs/>
                      <w:sz w:val="16"/>
                      <w:szCs w:val="16"/>
                      <w:lang w:val="de-DE"/>
                    </w:rPr>
                    <w:t xml:space="preserve"> Jahr</w:t>
                  </w:r>
                  <w:r w:rsidR="007321F9">
                    <w:rPr>
                      <w:rFonts w:ascii="Arial" w:hAnsi="Arial" w:cs="Arial"/>
                      <w:b/>
                      <w:bCs/>
                      <w:sz w:val="16"/>
                      <w:szCs w:val="16"/>
                      <w:lang w:val="de-DE"/>
                    </w:rPr>
                    <w:t xml:space="preserve">en </w:t>
                  </w:r>
                  <w:r>
                    <w:rPr>
                      <w:rFonts w:ascii="Arial" w:hAnsi="Arial" w:cs="Arial"/>
                      <w:b/>
                      <w:bCs/>
                      <w:sz w:val="16"/>
                      <w:szCs w:val="16"/>
                      <w:lang w:val="de-DE"/>
                    </w:rPr>
                    <w:t>aussteigen</w:t>
                  </w:r>
                  <w:r w:rsidR="007321F9">
                    <w:rPr>
                      <w:rFonts w:ascii="Arial" w:hAnsi="Arial" w:cs="Arial"/>
                      <w:b/>
                      <w:bCs/>
                      <w:sz w:val="16"/>
                      <w:szCs w:val="16"/>
                      <w:lang w:val="de-DE"/>
                    </w:rPr>
                    <w:t>.</w:t>
                  </w:r>
                </w:p>
              </w:tc>
            </w:tr>
            <w:tr w:rsidR="00F71C19" w14:paraId="2E2A9C46" w14:textId="22585944" w:rsidTr="004D7D2B">
              <w:trPr>
                <w:trHeight w:val="279"/>
              </w:trPr>
              <w:tc>
                <w:tcPr>
                  <w:tcW w:w="7372" w:type="dxa"/>
                  <w:gridSpan w:val="2"/>
                  <w:tcBorders>
                    <w:top w:val="single" w:sz="2" w:space="0" w:color="auto"/>
                    <w:left w:val="nil"/>
                    <w:bottom w:val="single" w:sz="2" w:space="0" w:color="auto"/>
                    <w:right w:val="nil"/>
                  </w:tcBorders>
                  <w:shd w:val="clear" w:color="auto" w:fill="8DB3E2" w:themeFill="text2" w:themeFillTint="66"/>
                </w:tcPr>
                <w:p w14:paraId="11D1FD70" w14:textId="6670A447" w:rsidR="00F71C19" w:rsidRPr="006439B7" w:rsidRDefault="00F71C19" w:rsidP="006439B7">
                  <w:pPr>
                    <w:jc w:val="both"/>
                    <w:rPr>
                      <w:rFonts w:ascii="Arial" w:hAnsi="Arial" w:cs="Arial"/>
                      <w:bCs/>
                      <w:sz w:val="16"/>
                      <w:szCs w:val="16"/>
                      <w:lang w:val="de-DE"/>
                    </w:rPr>
                  </w:pPr>
                  <w:r>
                    <w:rPr>
                      <w:rFonts w:ascii="Arial" w:hAnsi="Arial" w:cs="Arial"/>
                      <w:b/>
                      <w:bCs/>
                      <w:sz w:val="16"/>
                      <w:szCs w:val="16"/>
                      <w:lang w:val="de-DE"/>
                    </w:rPr>
                    <w:t>Szenarien</w:t>
                  </w:r>
                </w:p>
              </w:tc>
              <w:tc>
                <w:tcPr>
                  <w:tcW w:w="3857" w:type="dxa"/>
                  <w:gridSpan w:val="2"/>
                  <w:tcBorders>
                    <w:top w:val="single" w:sz="2" w:space="0" w:color="auto"/>
                    <w:left w:val="nil"/>
                    <w:bottom w:val="single" w:sz="2" w:space="0" w:color="auto"/>
                    <w:right w:val="single" w:sz="2" w:space="0" w:color="auto"/>
                  </w:tcBorders>
                  <w:shd w:val="clear" w:color="auto" w:fill="8DB3E2" w:themeFill="text2" w:themeFillTint="66"/>
                </w:tcPr>
                <w:p w14:paraId="326553C8" w14:textId="77777777" w:rsidR="00F71C19" w:rsidRDefault="00F71C19" w:rsidP="006439B7">
                  <w:pPr>
                    <w:jc w:val="both"/>
                    <w:rPr>
                      <w:rFonts w:ascii="Arial" w:hAnsi="Arial" w:cs="Arial"/>
                      <w:b/>
                      <w:bCs/>
                      <w:sz w:val="16"/>
                      <w:szCs w:val="16"/>
                      <w:lang w:val="de-DE"/>
                    </w:rPr>
                  </w:pPr>
                </w:p>
              </w:tc>
            </w:tr>
            <w:tr w:rsidR="006439B7" w:rsidRPr="009D74D1" w14:paraId="4C430F1A" w14:textId="744BDD78" w:rsidTr="00831D55">
              <w:tc>
                <w:tcPr>
                  <w:tcW w:w="2269" w:type="dxa"/>
                  <w:tcBorders>
                    <w:top w:val="single" w:sz="2" w:space="0" w:color="auto"/>
                    <w:left w:val="nil"/>
                    <w:bottom w:val="single" w:sz="2" w:space="0" w:color="auto"/>
                    <w:right w:val="single" w:sz="2" w:space="0" w:color="auto"/>
                  </w:tcBorders>
                  <w:shd w:val="clear" w:color="auto" w:fill="FFFFFF" w:themeFill="background1"/>
                </w:tcPr>
                <w:p w14:paraId="33B9F2C9" w14:textId="77777777" w:rsidR="006439B7" w:rsidRPr="004A55C1" w:rsidRDefault="006439B7" w:rsidP="006439B7">
                  <w:pPr>
                    <w:jc w:val="both"/>
                    <w:rPr>
                      <w:rFonts w:ascii="Arial" w:hAnsi="Arial" w:cs="Arial"/>
                      <w:b/>
                      <w:bCs/>
                      <w:sz w:val="16"/>
                      <w:szCs w:val="16"/>
                      <w:lang w:val="de-DE"/>
                    </w:rPr>
                  </w:pPr>
                  <w:r>
                    <w:rPr>
                      <w:rFonts w:ascii="Arial" w:hAnsi="Arial" w:cs="Arial"/>
                      <w:b/>
                      <w:bCs/>
                      <w:sz w:val="16"/>
                      <w:szCs w:val="16"/>
                      <w:lang w:val="de-DE"/>
                    </w:rPr>
                    <w:t>Minimum</w:t>
                  </w:r>
                </w:p>
              </w:tc>
              <w:tc>
                <w:tcPr>
                  <w:tcW w:w="8960"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14:paraId="1D7C3F2E" w14:textId="0A0C8350" w:rsidR="006439B7" w:rsidRPr="00D151CB" w:rsidRDefault="006439B7" w:rsidP="006439B7">
                  <w:pPr>
                    <w:ind w:left="-926" w:firstLine="926"/>
                    <w:jc w:val="both"/>
                    <w:rPr>
                      <w:rFonts w:ascii="Arial" w:hAnsi="Arial" w:cs="Arial"/>
                      <w:b/>
                      <w:sz w:val="16"/>
                      <w:szCs w:val="16"/>
                      <w:lang w:val="de-DE"/>
                    </w:rPr>
                  </w:pPr>
                  <w:r w:rsidRPr="00D151CB">
                    <w:rPr>
                      <w:rFonts w:ascii="Arial" w:hAnsi="Arial" w:cs="Arial"/>
                      <w:b/>
                      <w:sz w:val="16"/>
                      <w:szCs w:val="16"/>
                      <w:lang w:val="de-DE"/>
                    </w:rPr>
                    <w:t>Es gibt keine garantierte Mindestrendite. Sie könnten Ihre Anlage ganz</w:t>
                  </w:r>
                  <w:r>
                    <w:rPr>
                      <w:rFonts w:ascii="Arial" w:hAnsi="Arial" w:cs="Arial"/>
                      <w:b/>
                      <w:sz w:val="16"/>
                      <w:szCs w:val="16"/>
                      <w:lang w:val="de-DE"/>
                    </w:rPr>
                    <w:t xml:space="preserve"> </w:t>
                  </w:r>
                  <w:r w:rsidRPr="00D151CB">
                    <w:rPr>
                      <w:rFonts w:ascii="Arial" w:hAnsi="Arial" w:cs="Arial"/>
                      <w:b/>
                      <w:sz w:val="16"/>
                      <w:szCs w:val="16"/>
                      <w:lang w:val="de-DE"/>
                    </w:rPr>
                    <w:t>oder teilweise verlieren.</w:t>
                  </w:r>
                </w:p>
              </w:tc>
            </w:tr>
            <w:tr w:rsidR="00F71C19" w:rsidRPr="00C72B52" w14:paraId="33DCF95A" w14:textId="4290817B" w:rsidTr="00D43547">
              <w:tc>
                <w:tcPr>
                  <w:tcW w:w="2269" w:type="dxa"/>
                  <w:vMerge w:val="restart"/>
                  <w:tcBorders>
                    <w:top w:val="single" w:sz="2" w:space="0" w:color="auto"/>
                    <w:left w:val="nil"/>
                    <w:right w:val="single" w:sz="2" w:space="0" w:color="auto"/>
                  </w:tcBorders>
                  <w:shd w:val="clear" w:color="auto" w:fill="FFFFFF" w:themeFill="background1"/>
                </w:tcPr>
                <w:p w14:paraId="43A7476A" w14:textId="77777777" w:rsidR="00F71C19" w:rsidRPr="004A55C1" w:rsidRDefault="00F71C19" w:rsidP="006439B7">
                  <w:pPr>
                    <w:jc w:val="both"/>
                    <w:rPr>
                      <w:rFonts w:ascii="Arial" w:hAnsi="Arial" w:cs="Arial"/>
                      <w:b/>
                      <w:bCs/>
                      <w:sz w:val="16"/>
                      <w:szCs w:val="16"/>
                      <w:lang w:val="de-DE"/>
                    </w:rPr>
                  </w:pPr>
                  <w:r>
                    <w:rPr>
                      <w:rFonts w:ascii="Arial" w:hAnsi="Arial" w:cs="Arial"/>
                      <w:b/>
                      <w:bCs/>
                      <w:sz w:val="16"/>
                      <w:szCs w:val="16"/>
                      <w:lang w:val="de-DE"/>
                    </w:rPr>
                    <w:t>Stressszenario</w:t>
                  </w: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36B87BA" w14:textId="256C0A52" w:rsidR="00F71C19" w:rsidRPr="004A55C1" w:rsidRDefault="00F71C19" w:rsidP="006439B7">
                  <w:pPr>
                    <w:jc w:val="both"/>
                    <w:rPr>
                      <w:rFonts w:ascii="Arial" w:hAnsi="Arial" w:cs="Arial"/>
                      <w:b/>
                      <w:bCs/>
                      <w:sz w:val="16"/>
                      <w:szCs w:val="16"/>
                      <w:lang w:val="de-DE"/>
                    </w:rPr>
                  </w:pPr>
                  <w:r w:rsidRPr="004A55C1">
                    <w:rPr>
                      <w:rFonts w:ascii="Arial" w:hAnsi="Arial" w:cs="Arial"/>
                      <w:b/>
                      <w:bCs/>
                      <w:sz w:val="16"/>
                      <w:szCs w:val="16"/>
                      <w:lang w:val="de-DE"/>
                    </w:rPr>
                    <w:t xml:space="preserve">Was Sie </w:t>
                  </w:r>
                  <w:r>
                    <w:rPr>
                      <w:rFonts w:ascii="Arial" w:hAnsi="Arial" w:cs="Arial"/>
                      <w:b/>
                      <w:bCs/>
                      <w:sz w:val="16"/>
                      <w:szCs w:val="16"/>
                      <w:lang w:val="de-DE"/>
                    </w:rPr>
                    <w:t xml:space="preserve">am Ende </w:t>
                  </w:r>
                  <w:r w:rsidRPr="004A55C1">
                    <w:rPr>
                      <w:rFonts w:ascii="Arial" w:hAnsi="Arial" w:cs="Arial"/>
                      <w:b/>
                      <w:bCs/>
                      <w:sz w:val="16"/>
                      <w:szCs w:val="16"/>
                      <w:lang w:val="de-DE"/>
                    </w:rPr>
                    <w:t xml:space="preserve">nach Abzug der Kosten </w:t>
                  </w:r>
                  <w:r>
                    <w:rPr>
                      <w:rFonts w:ascii="Arial" w:hAnsi="Arial" w:cs="Arial"/>
                      <w:b/>
                      <w:bCs/>
                      <w:sz w:val="16"/>
                      <w:szCs w:val="16"/>
                      <w:lang w:val="de-DE"/>
                    </w:rPr>
                    <w:t xml:space="preserve">herausbekommen </w:t>
                  </w:r>
                  <w:r w:rsidRPr="004A55C1">
                    <w:rPr>
                      <w:rFonts w:ascii="Arial" w:hAnsi="Arial" w:cs="Arial"/>
                      <w:b/>
                      <w:bCs/>
                      <w:sz w:val="16"/>
                      <w:szCs w:val="16"/>
                      <w:lang w:val="de-DE"/>
                    </w:rPr>
                    <w:t>könnten</w:t>
                  </w:r>
                  <w:r w:rsidR="00FE039F">
                    <w:rPr>
                      <w:rFonts w:ascii="Arial" w:hAnsi="Arial" w:cs="Arial"/>
                      <w:b/>
                      <w:bCs/>
                      <w:sz w:val="16"/>
                      <w:szCs w:val="16"/>
                      <w:lang w:val="de-DE"/>
                    </w:rPr>
                    <w:t>:</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3CC4273F" w14:textId="300CD864" w:rsidR="00F71C19" w:rsidRPr="00563E1D" w:rsidRDefault="00F71C19" w:rsidP="006439B7">
                  <w:pPr>
                    <w:jc w:val="both"/>
                    <w:rPr>
                      <w:rFonts w:ascii="Arial" w:hAnsi="Arial" w:cs="Arial"/>
                      <w:bCs/>
                      <w:sz w:val="16"/>
                      <w:szCs w:val="16"/>
                      <w:lang w:val="de-DE"/>
                    </w:rPr>
                  </w:pPr>
                  <w:r w:rsidRPr="00C72B52">
                    <w:rPr>
                      <w:rFonts w:ascii="Arial" w:hAnsi="Arial" w:cs="Arial"/>
                      <w:bCs/>
                      <w:sz w:val="16"/>
                      <w:szCs w:val="16"/>
                      <w:lang w:val="de-DE"/>
                    </w:rPr>
                    <w:t>EUR</w:t>
                  </w:r>
                  <w:r>
                    <w:rPr>
                      <w:rFonts w:ascii="Arial" w:hAnsi="Arial" w:cs="Arial"/>
                      <w:bCs/>
                      <w:sz w:val="16"/>
                      <w:szCs w:val="16"/>
                      <w:lang w:val="de-DE"/>
                    </w:rPr>
                    <w:t xml:space="preserve"> 0,-</w:t>
                  </w:r>
                  <w:r w:rsidRPr="00C72B52">
                    <w:rPr>
                      <w:rFonts w:ascii="Arial" w:hAnsi="Arial" w:cs="Arial"/>
                      <w:bCs/>
                      <w:sz w:val="16"/>
                      <w:szCs w:val="16"/>
                      <w:lang w:val="de-DE"/>
                    </w:rPr>
                    <w:t xml:space="preserve"> </w:t>
                  </w:r>
                </w:p>
              </w:tc>
            </w:tr>
            <w:tr w:rsidR="00F71C19" w:rsidRPr="00C72B52" w14:paraId="1D9F83E3" w14:textId="4C227460" w:rsidTr="00D43547">
              <w:tc>
                <w:tcPr>
                  <w:tcW w:w="2269" w:type="dxa"/>
                  <w:vMerge/>
                  <w:tcBorders>
                    <w:left w:val="nil"/>
                    <w:bottom w:val="single" w:sz="2" w:space="0" w:color="auto"/>
                    <w:right w:val="single" w:sz="2" w:space="0" w:color="auto"/>
                  </w:tcBorders>
                  <w:shd w:val="clear" w:color="auto" w:fill="FFFFFF" w:themeFill="background1"/>
                </w:tcPr>
                <w:p w14:paraId="3F56D234" w14:textId="77777777" w:rsidR="00F71C19" w:rsidRPr="004A55C1" w:rsidRDefault="00F71C19" w:rsidP="006439B7">
                  <w:pPr>
                    <w:jc w:val="both"/>
                    <w:rPr>
                      <w:rFonts w:ascii="Arial" w:hAnsi="Arial" w:cs="Arial"/>
                      <w:b/>
                      <w:bCs/>
                      <w:sz w:val="16"/>
                      <w:szCs w:val="16"/>
                      <w:lang w:val="de-DE"/>
                    </w:rPr>
                  </w:pP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0CAECF0" w14:textId="77777777" w:rsidR="00F71C19" w:rsidRPr="004A55C1" w:rsidRDefault="00F71C19" w:rsidP="006439B7">
                  <w:pPr>
                    <w:jc w:val="both"/>
                    <w:rPr>
                      <w:rFonts w:ascii="Arial" w:hAnsi="Arial" w:cs="Arial"/>
                      <w:b/>
                      <w:bCs/>
                      <w:sz w:val="16"/>
                      <w:szCs w:val="16"/>
                      <w:lang w:val="de-DE"/>
                    </w:rPr>
                  </w:pPr>
                  <w:r w:rsidRPr="004A55C1">
                    <w:rPr>
                      <w:rFonts w:ascii="Arial" w:hAnsi="Arial" w:cs="Arial"/>
                      <w:bCs/>
                      <w:sz w:val="16"/>
                      <w:szCs w:val="16"/>
                      <w:lang w:val="de-DE"/>
                    </w:rPr>
                    <w:t>Jährliche Durchschnittsrendite</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60D77491" w14:textId="77D64C97" w:rsidR="00F71C19" w:rsidRDefault="00F71C19" w:rsidP="006439B7">
                  <w:pPr>
                    <w:jc w:val="both"/>
                    <w:rPr>
                      <w:rFonts w:ascii="Arial" w:hAnsi="Arial" w:cs="Arial"/>
                      <w:bCs/>
                      <w:sz w:val="16"/>
                      <w:szCs w:val="16"/>
                      <w:lang w:val="de-DE"/>
                    </w:rPr>
                  </w:pPr>
                  <w:r w:rsidRPr="00C72B52">
                    <w:rPr>
                      <w:rFonts w:ascii="Arial" w:hAnsi="Arial" w:cs="Arial"/>
                      <w:bCs/>
                      <w:sz w:val="16"/>
                      <w:szCs w:val="16"/>
                      <w:lang w:val="de-DE"/>
                    </w:rPr>
                    <w:t>0,00 %</w:t>
                  </w:r>
                </w:p>
              </w:tc>
            </w:tr>
            <w:tr w:rsidR="00F71C19" w:rsidRPr="00C72B52" w14:paraId="05F2B66C" w14:textId="449FDBE2" w:rsidTr="00D43547">
              <w:tc>
                <w:tcPr>
                  <w:tcW w:w="2269" w:type="dxa"/>
                  <w:vMerge w:val="restart"/>
                  <w:tcBorders>
                    <w:top w:val="single" w:sz="2" w:space="0" w:color="auto"/>
                    <w:left w:val="nil"/>
                    <w:bottom w:val="single" w:sz="2" w:space="0" w:color="auto"/>
                    <w:right w:val="single" w:sz="2" w:space="0" w:color="auto"/>
                  </w:tcBorders>
                  <w:shd w:val="clear" w:color="auto" w:fill="FFFFFF" w:themeFill="background1"/>
                </w:tcPr>
                <w:p w14:paraId="0B934FA8" w14:textId="77777777" w:rsidR="00F71C19" w:rsidRPr="004A55C1" w:rsidRDefault="00F71C19" w:rsidP="006439B7">
                  <w:pPr>
                    <w:jc w:val="both"/>
                    <w:rPr>
                      <w:rFonts w:ascii="Arial" w:hAnsi="Arial" w:cs="Arial"/>
                      <w:b/>
                      <w:bCs/>
                      <w:sz w:val="16"/>
                      <w:szCs w:val="16"/>
                      <w:lang w:val="de-DE"/>
                    </w:rPr>
                  </w:pPr>
                  <w:r w:rsidRPr="004A55C1">
                    <w:rPr>
                      <w:rFonts w:ascii="Arial" w:hAnsi="Arial" w:cs="Arial"/>
                      <w:b/>
                      <w:bCs/>
                      <w:sz w:val="16"/>
                      <w:szCs w:val="16"/>
                      <w:lang w:val="de-DE"/>
                    </w:rPr>
                    <w:t>Pessimistisches Szenario</w:t>
                  </w: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D6393FF" w14:textId="41B25D85" w:rsidR="00F71C19" w:rsidRPr="004A55C1" w:rsidRDefault="00F71C19" w:rsidP="006439B7">
                  <w:pPr>
                    <w:jc w:val="both"/>
                    <w:rPr>
                      <w:rFonts w:ascii="Arial" w:hAnsi="Arial" w:cs="Arial"/>
                      <w:b/>
                      <w:bCs/>
                      <w:sz w:val="16"/>
                      <w:szCs w:val="16"/>
                      <w:lang w:val="de-DE"/>
                    </w:rPr>
                  </w:pPr>
                  <w:r w:rsidRPr="004A55C1">
                    <w:rPr>
                      <w:rFonts w:ascii="Arial" w:hAnsi="Arial" w:cs="Arial"/>
                      <w:b/>
                      <w:bCs/>
                      <w:sz w:val="16"/>
                      <w:szCs w:val="16"/>
                      <w:lang w:val="de-DE"/>
                    </w:rPr>
                    <w:t xml:space="preserve">Was Sie </w:t>
                  </w:r>
                  <w:r>
                    <w:rPr>
                      <w:rFonts w:ascii="Arial" w:hAnsi="Arial" w:cs="Arial"/>
                      <w:b/>
                      <w:bCs/>
                      <w:sz w:val="16"/>
                      <w:szCs w:val="16"/>
                      <w:lang w:val="de-DE"/>
                    </w:rPr>
                    <w:t xml:space="preserve">am Ende </w:t>
                  </w:r>
                  <w:r w:rsidRPr="004A55C1">
                    <w:rPr>
                      <w:rFonts w:ascii="Arial" w:hAnsi="Arial" w:cs="Arial"/>
                      <w:b/>
                      <w:bCs/>
                      <w:sz w:val="16"/>
                      <w:szCs w:val="16"/>
                      <w:lang w:val="de-DE"/>
                    </w:rPr>
                    <w:t xml:space="preserve">nach Abzug der Kosten </w:t>
                  </w:r>
                  <w:r>
                    <w:rPr>
                      <w:rFonts w:ascii="Arial" w:hAnsi="Arial" w:cs="Arial"/>
                      <w:b/>
                      <w:bCs/>
                      <w:sz w:val="16"/>
                      <w:szCs w:val="16"/>
                      <w:lang w:val="de-DE"/>
                    </w:rPr>
                    <w:t>herausbekommen</w:t>
                  </w:r>
                  <w:r w:rsidRPr="004A55C1">
                    <w:rPr>
                      <w:rFonts w:ascii="Arial" w:hAnsi="Arial" w:cs="Arial"/>
                      <w:b/>
                      <w:bCs/>
                      <w:sz w:val="16"/>
                      <w:szCs w:val="16"/>
                      <w:lang w:val="de-DE"/>
                    </w:rPr>
                    <w:t xml:space="preserve"> könnten</w:t>
                  </w:r>
                  <w:r w:rsidR="00FE039F">
                    <w:rPr>
                      <w:rFonts w:ascii="Arial" w:hAnsi="Arial" w:cs="Arial"/>
                      <w:b/>
                      <w:bCs/>
                      <w:sz w:val="16"/>
                      <w:szCs w:val="16"/>
                      <w:lang w:val="de-DE"/>
                    </w:rPr>
                    <w:t>:</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43C33495" w14:textId="73453C02" w:rsidR="00F71C19" w:rsidRPr="00C72B52" w:rsidRDefault="00F71C19" w:rsidP="006439B7">
                  <w:pPr>
                    <w:jc w:val="both"/>
                    <w:rPr>
                      <w:rFonts w:ascii="Arial" w:hAnsi="Arial" w:cs="Arial"/>
                      <w:bCs/>
                      <w:sz w:val="16"/>
                      <w:szCs w:val="16"/>
                      <w:lang w:val="de-DE"/>
                    </w:rPr>
                  </w:pPr>
                  <w:r w:rsidRPr="00C72B52">
                    <w:rPr>
                      <w:rFonts w:ascii="Arial" w:hAnsi="Arial" w:cs="Arial"/>
                      <w:bCs/>
                      <w:sz w:val="16"/>
                      <w:szCs w:val="16"/>
                      <w:lang w:val="de-DE"/>
                    </w:rPr>
                    <w:t xml:space="preserve">EUR </w:t>
                  </w:r>
                  <w:r>
                    <w:rPr>
                      <w:rFonts w:ascii="Arial" w:hAnsi="Arial" w:cs="Arial"/>
                      <w:bCs/>
                      <w:sz w:val="16"/>
                      <w:szCs w:val="16"/>
                      <w:lang w:val="de-DE"/>
                    </w:rPr>
                    <w:t>5.000,-</w:t>
                  </w:r>
                </w:p>
              </w:tc>
            </w:tr>
            <w:tr w:rsidR="00F71C19" w:rsidRPr="00C72B52" w14:paraId="7E7AED69" w14:textId="32C51CE9" w:rsidTr="00D43547">
              <w:tc>
                <w:tcPr>
                  <w:tcW w:w="2269" w:type="dxa"/>
                  <w:vMerge/>
                  <w:tcBorders>
                    <w:top w:val="single" w:sz="2" w:space="0" w:color="auto"/>
                    <w:left w:val="nil"/>
                    <w:bottom w:val="single" w:sz="2" w:space="0" w:color="auto"/>
                    <w:right w:val="single" w:sz="2" w:space="0" w:color="auto"/>
                  </w:tcBorders>
                  <w:shd w:val="clear" w:color="auto" w:fill="FFFFFF" w:themeFill="background1"/>
                </w:tcPr>
                <w:p w14:paraId="4B4D11CB" w14:textId="77777777" w:rsidR="00F71C19" w:rsidRPr="004A55C1" w:rsidRDefault="00F71C19" w:rsidP="006439B7">
                  <w:pPr>
                    <w:jc w:val="both"/>
                    <w:rPr>
                      <w:rFonts w:ascii="Arial" w:hAnsi="Arial" w:cs="Arial"/>
                      <w:b/>
                      <w:bCs/>
                      <w:sz w:val="16"/>
                      <w:szCs w:val="16"/>
                      <w:lang w:val="de-DE"/>
                    </w:rPr>
                  </w:pP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66B07A4D" w14:textId="77777777" w:rsidR="00F71C19" w:rsidRPr="004A55C1" w:rsidRDefault="00F71C19" w:rsidP="006439B7">
                  <w:pPr>
                    <w:jc w:val="both"/>
                    <w:rPr>
                      <w:rFonts w:ascii="Arial" w:hAnsi="Arial" w:cs="Arial"/>
                      <w:b/>
                      <w:bCs/>
                      <w:sz w:val="16"/>
                      <w:szCs w:val="16"/>
                      <w:lang w:val="de-DE"/>
                    </w:rPr>
                  </w:pPr>
                  <w:r w:rsidRPr="004A55C1">
                    <w:rPr>
                      <w:rFonts w:ascii="Arial" w:hAnsi="Arial" w:cs="Arial"/>
                      <w:bCs/>
                      <w:sz w:val="16"/>
                      <w:szCs w:val="16"/>
                      <w:lang w:val="de-DE"/>
                    </w:rPr>
                    <w:t>Jährliche Durchschnittsrendite</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4EF2D5E2" w14:textId="421BFC02" w:rsidR="00F71C19" w:rsidRDefault="00F71C19" w:rsidP="006439B7">
                  <w:pPr>
                    <w:jc w:val="both"/>
                    <w:rPr>
                      <w:rFonts w:ascii="Arial" w:hAnsi="Arial" w:cs="Arial"/>
                      <w:bCs/>
                      <w:sz w:val="16"/>
                      <w:szCs w:val="16"/>
                      <w:lang w:val="de-DE"/>
                    </w:rPr>
                  </w:pPr>
                  <w:r w:rsidRPr="00C72B52">
                    <w:rPr>
                      <w:rFonts w:ascii="Arial" w:hAnsi="Arial" w:cs="Arial"/>
                      <w:bCs/>
                      <w:sz w:val="16"/>
                      <w:szCs w:val="16"/>
                      <w:lang w:val="de-DE"/>
                    </w:rPr>
                    <w:t>0,00 %</w:t>
                  </w:r>
                </w:p>
              </w:tc>
            </w:tr>
            <w:tr w:rsidR="00F71C19" w:rsidRPr="00C72B52" w14:paraId="37D07A58" w14:textId="550424A1" w:rsidTr="00D43547">
              <w:tc>
                <w:tcPr>
                  <w:tcW w:w="2269" w:type="dxa"/>
                  <w:vMerge w:val="restart"/>
                  <w:tcBorders>
                    <w:top w:val="single" w:sz="2" w:space="0" w:color="auto"/>
                    <w:left w:val="nil"/>
                    <w:bottom w:val="single" w:sz="2" w:space="0" w:color="auto"/>
                    <w:right w:val="single" w:sz="2" w:space="0" w:color="auto"/>
                  </w:tcBorders>
                  <w:shd w:val="clear" w:color="auto" w:fill="FFFFFF" w:themeFill="background1"/>
                </w:tcPr>
                <w:p w14:paraId="4CF2DC2A" w14:textId="77777777" w:rsidR="00F71C19" w:rsidRPr="004A55C1" w:rsidRDefault="00F71C19" w:rsidP="006439B7">
                  <w:pPr>
                    <w:jc w:val="both"/>
                    <w:rPr>
                      <w:rFonts w:ascii="Arial" w:hAnsi="Arial" w:cs="Arial"/>
                      <w:b/>
                      <w:bCs/>
                      <w:sz w:val="16"/>
                      <w:szCs w:val="16"/>
                      <w:lang w:val="de-DE"/>
                    </w:rPr>
                  </w:pPr>
                  <w:r w:rsidRPr="004A55C1">
                    <w:rPr>
                      <w:rFonts w:ascii="Arial" w:hAnsi="Arial" w:cs="Arial"/>
                      <w:b/>
                      <w:bCs/>
                      <w:sz w:val="16"/>
                      <w:szCs w:val="16"/>
                      <w:lang w:val="de-DE"/>
                    </w:rPr>
                    <w:t>Mittleres Szenario</w:t>
                  </w: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BF51D63" w14:textId="72BA9520" w:rsidR="00F71C19" w:rsidRPr="004A55C1" w:rsidRDefault="00F71C19" w:rsidP="006439B7">
                  <w:pPr>
                    <w:jc w:val="both"/>
                    <w:rPr>
                      <w:rFonts w:ascii="Arial" w:hAnsi="Arial" w:cs="Arial"/>
                      <w:b/>
                      <w:bCs/>
                      <w:sz w:val="16"/>
                      <w:szCs w:val="16"/>
                      <w:lang w:val="de-DE"/>
                    </w:rPr>
                  </w:pPr>
                  <w:r w:rsidRPr="004A55C1">
                    <w:rPr>
                      <w:rFonts w:ascii="Arial" w:hAnsi="Arial" w:cs="Arial"/>
                      <w:b/>
                      <w:bCs/>
                      <w:sz w:val="16"/>
                      <w:szCs w:val="16"/>
                      <w:lang w:val="de-DE"/>
                    </w:rPr>
                    <w:t>Was Sie</w:t>
                  </w:r>
                  <w:r>
                    <w:rPr>
                      <w:rFonts w:ascii="Arial" w:hAnsi="Arial" w:cs="Arial"/>
                      <w:b/>
                      <w:bCs/>
                      <w:sz w:val="16"/>
                      <w:szCs w:val="16"/>
                      <w:lang w:val="de-DE"/>
                    </w:rPr>
                    <w:t xml:space="preserve"> am Ende</w:t>
                  </w:r>
                  <w:r w:rsidRPr="004A55C1">
                    <w:rPr>
                      <w:rFonts w:ascii="Arial" w:hAnsi="Arial" w:cs="Arial"/>
                      <w:b/>
                      <w:bCs/>
                      <w:sz w:val="16"/>
                      <w:szCs w:val="16"/>
                      <w:lang w:val="de-DE"/>
                    </w:rPr>
                    <w:t xml:space="preserve"> nach Abzug der Kosten </w:t>
                  </w:r>
                  <w:r>
                    <w:rPr>
                      <w:rFonts w:ascii="Arial" w:hAnsi="Arial" w:cs="Arial"/>
                      <w:b/>
                      <w:bCs/>
                      <w:sz w:val="16"/>
                      <w:szCs w:val="16"/>
                      <w:lang w:val="de-DE"/>
                    </w:rPr>
                    <w:t>herausbekommen</w:t>
                  </w:r>
                  <w:r w:rsidRPr="004A55C1">
                    <w:rPr>
                      <w:rFonts w:ascii="Arial" w:hAnsi="Arial" w:cs="Arial"/>
                      <w:b/>
                      <w:bCs/>
                      <w:sz w:val="16"/>
                      <w:szCs w:val="16"/>
                      <w:lang w:val="de-DE"/>
                    </w:rPr>
                    <w:t xml:space="preserve"> könnten</w:t>
                  </w:r>
                  <w:r w:rsidR="00FE039F">
                    <w:rPr>
                      <w:rFonts w:ascii="Arial" w:hAnsi="Arial" w:cs="Arial"/>
                      <w:b/>
                      <w:bCs/>
                      <w:sz w:val="16"/>
                      <w:szCs w:val="16"/>
                      <w:lang w:val="de-DE"/>
                    </w:rPr>
                    <w:t>:</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1AFE130D" w14:textId="330059F3" w:rsidR="00F71C19" w:rsidRPr="00FB21CC" w:rsidRDefault="00F71C19" w:rsidP="006439B7">
                  <w:pPr>
                    <w:jc w:val="both"/>
                    <w:rPr>
                      <w:rFonts w:ascii="Arial" w:hAnsi="Arial" w:cs="Arial"/>
                      <w:bCs/>
                      <w:sz w:val="16"/>
                      <w:szCs w:val="16"/>
                      <w:lang w:val="de-DE"/>
                    </w:rPr>
                  </w:pPr>
                  <w:r w:rsidRPr="00FB21CC">
                    <w:rPr>
                      <w:rFonts w:ascii="Arial" w:hAnsi="Arial" w:cs="Arial"/>
                      <w:bCs/>
                      <w:sz w:val="16"/>
                      <w:szCs w:val="16"/>
                      <w:lang w:val="de-DE"/>
                    </w:rPr>
                    <w:t xml:space="preserve">EUR </w:t>
                  </w:r>
                  <w:r w:rsidR="007321F9">
                    <w:rPr>
                      <w:rFonts w:ascii="Arial" w:hAnsi="Arial" w:cs="Arial"/>
                      <w:bCs/>
                      <w:sz w:val="16"/>
                      <w:szCs w:val="16"/>
                      <w:lang w:val="de-DE"/>
                    </w:rPr>
                    <w:t>10.000,00</w:t>
                  </w:r>
                </w:p>
              </w:tc>
            </w:tr>
            <w:tr w:rsidR="00F71C19" w:rsidRPr="00C72B52" w14:paraId="5DCBD3FD" w14:textId="202D960B" w:rsidTr="00D43547">
              <w:tc>
                <w:tcPr>
                  <w:tcW w:w="2269" w:type="dxa"/>
                  <w:vMerge/>
                  <w:tcBorders>
                    <w:top w:val="single" w:sz="2" w:space="0" w:color="auto"/>
                    <w:left w:val="nil"/>
                    <w:bottom w:val="single" w:sz="2" w:space="0" w:color="auto"/>
                    <w:right w:val="single" w:sz="2" w:space="0" w:color="auto"/>
                  </w:tcBorders>
                  <w:shd w:val="clear" w:color="auto" w:fill="FFFFFF" w:themeFill="background1"/>
                </w:tcPr>
                <w:p w14:paraId="53F24B9F" w14:textId="77777777" w:rsidR="00F71C19" w:rsidRPr="004A55C1" w:rsidRDefault="00F71C19" w:rsidP="006439B7">
                  <w:pPr>
                    <w:jc w:val="both"/>
                    <w:rPr>
                      <w:rFonts w:ascii="Arial" w:hAnsi="Arial" w:cs="Arial"/>
                      <w:b/>
                      <w:bCs/>
                      <w:sz w:val="16"/>
                      <w:szCs w:val="16"/>
                      <w:lang w:val="de-DE"/>
                    </w:rPr>
                  </w:pP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14C01CF" w14:textId="77777777" w:rsidR="00F71C19" w:rsidRPr="004A55C1" w:rsidRDefault="00F71C19" w:rsidP="006439B7">
                  <w:pPr>
                    <w:jc w:val="both"/>
                    <w:rPr>
                      <w:rFonts w:ascii="Arial" w:hAnsi="Arial" w:cs="Arial"/>
                      <w:b/>
                      <w:bCs/>
                      <w:sz w:val="16"/>
                      <w:szCs w:val="16"/>
                      <w:lang w:val="de-DE"/>
                    </w:rPr>
                  </w:pPr>
                  <w:r w:rsidRPr="004A55C1">
                    <w:rPr>
                      <w:rFonts w:ascii="Arial" w:hAnsi="Arial" w:cs="Arial"/>
                      <w:bCs/>
                      <w:sz w:val="16"/>
                      <w:szCs w:val="16"/>
                      <w:lang w:val="de-DE"/>
                    </w:rPr>
                    <w:t>Jährliche Durchschnittsrendite</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0FE1DFF1" w14:textId="3ACEE2D9" w:rsidR="00F71C19" w:rsidRPr="00FB21CC" w:rsidRDefault="007321F9" w:rsidP="006439B7">
                  <w:pPr>
                    <w:jc w:val="both"/>
                    <w:rPr>
                      <w:rFonts w:ascii="Arial" w:hAnsi="Arial" w:cs="Arial"/>
                      <w:bCs/>
                      <w:sz w:val="16"/>
                      <w:szCs w:val="16"/>
                      <w:lang w:val="de-DE"/>
                    </w:rPr>
                  </w:pPr>
                  <w:r>
                    <w:rPr>
                      <w:rFonts w:ascii="Arial" w:hAnsi="Arial" w:cs="Arial"/>
                      <w:bCs/>
                      <w:sz w:val="16"/>
                      <w:szCs w:val="16"/>
                      <w:lang w:val="de-DE"/>
                    </w:rPr>
                    <w:t>0,00</w:t>
                  </w:r>
                  <w:r w:rsidR="00F71C19" w:rsidRPr="00FB21CC">
                    <w:rPr>
                      <w:rFonts w:ascii="Arial" w:hAnsi="Arial" w:cs="Arial"/>
                      <w:bCs/>
                      <w:sz w:val="16"/>
                      <w:szCs w:val="16"/>
                      <w:lang w:val="de-DE"/>
                    </w:rPr>
                    <w:t>%</w:t>
                  </w:r>
                </w:p>
              </w:tc>
            </w:tr>
            <w:tr w:rsidR="00F71C19" w:rsidRPr="009D74D1" w14:paraId="22EEF3F4" w14:textId="6758E003" w:rsidTr="00D43547">
              <w:tc>
                <w:tcPr>
                  <w:tcW w:w="2269" w:type="dxa"/>
                  <w:vMerge w:val="restart"/>
                  <w:tcBorders>
                    <w:top w:val="single" w:sz="2" w:space="0" w:color="auto"/>
                    <w:left w:val="nil"/>
                    <w:bottom w:val="single" w:sz="4" w:space="0" w:color="auto"/>
                    <w:right w:val="single" w:sz="2" w:space="0" w:color="auto"/>
                  </w:tcBorders>
                  <w:shd w:val="clear" w:color="auto" w:fill="FFFFFF" w:themeFill="background1"/>
                </w:tcPr>
                <w:p w14:paraId="6F9083D9" w14:textId="0A5B27E4" w:rsidR="00F71C19" w:rsidRPr="00E54597" w:rsidRDefault="00F71C19" w:rsidP="006439B7">
                  <w:pPr>
                    <w:jc w:val="both"/>
                    <w:rPr>
                      <w:rFonts w:ascii="Arial" w:hAnsi="Arial" w:cs="Arial"/>
                      <w:bCs/>
                      <w:sz w:val="16"/>
                      <w:szCs w:val="16"/>
                      <w:lang w:val="de-DE"/>
                    </w:rPr>
                  </w:pPr>
                  <w:r w:rsidRPr="004A55C1">
                    <w:rPr>
                      <w:rFonts w:ascii="Arial" w:hAnsi="Arial" w:cs="Arial"/>
                      <w:b/>
                      <w:bCs/>
                      <w:sz w:val="16"/>
                      <w:szCs w:val="16"/>
                      <w:lang w:val="de-DE"/>
                    </w:rPr>
                    <w:t>Optimistisches Szenario</w:t>
                  </w:r>
                </w:p>
              </w:tc>
              <w:tc>
                <w:tcPr>
                  <w:tcW w:w="584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61F0E1A" w14:textId="7AF7D658" w:rsidR="00F71C19" w:rsidRPr="004A55C1" w:rsidRDefault="00F71C19" w:rsidP="006439B7">
                  <w:pPr>
                    <w:jc w:val="both"/>
                    <w:rPr>
                      <w:rFonts w:ascii="Arial" w:hAnsi="Arial" w:cs="Arial"/>
                      <w:b/>
                      <w:bCs/>
                      <w:sz w:val="16"/>
                      <w:szCs w:val="16"/>
                      <w:lang w:val="de-DE"/>
                    </w:rPr>
                  </w:pPr>
                  <w:r w:rsidRPr="004A55C1">
                    <w:rPr>
                      <w:rFonts w:ascii="Arial" w:hAnsi="Arial" w:cs="Arial"/>
                      <w:b/>
                      <w:bCs/>
                      <w:sz w:val="16"/>
                      <w:szCs w:val="16"/>
                      <w:lang w:val="de-DE"/>
                    </w:rPr>
                    <w:t xml:space="preserve">Was Sie </w:t>
                  </w:r>
                  <w:r>
                    <w:rPr>
                      <w:rFonts w:ascii="Arial" w:hAnsi="Arial" w:cs="Arial"/>
                      <w:b/>
                      <w:bCs/>
                      <w:sz w:val="16"/>
                      <w:szCs w:val="16"/>
                      <w:lang w:val="de-DE"/>
                    </w:rPr>
                    <w:t xml:space="preserve">am Ende </w:t>
                  </w:r>
                  <w:r w:rsidRPr="004A55C1">
                    <w:rPr>
                      <w:rFonts w:ascii="Arial" w:hAnsi="Arial" w:cs="Arial"/>
                      <w:b/>
                      <w:bCs/>
                      <w:sz w:val="16"/>
                      <w:szCs w:val="16"/>
                      <w:lang w:val="de-DE"/>
                    </w:rPr>
                    <w:t xml:space="preserve">nach Abzug der Kosten </w:t>
                  </w:r>
                  <w:r>
                    <w:rPr>
                      <w:rFonts w:ascii="Arial" w:hAnsi="Arial" w:cs="Arial"/>
                      <w:b/>
                      <w:bCs/>
                      <w:sz w:val="16"/>
                      <w:szCs w:val="16"/>
                      <w:lang w:val="de-DE"/>
                    </w:rPr>
                    <w:t>herausbekommen</w:t>
                  </w:r>
                  <w:r w:rsidRPr="004A55C1">
                    <w:rPr>
                      <w:rFonts w:ascii="Arial" w:hAnsi="Arial" w:cs="Arial"/>
                      <w:b/>
                      <w:bCs/>
                      <w:sz w:val="16"/>
                      <w:szCs w:val="16"/>
                      <w:lang w:val="de-DE"/>
                    </w:rPr>
                    <w:t xml:space="preserve"> könnten</w:t>
                  </w:r>
                  <w:r w:rsidR="00FE039F">
                    <w:rPr>
                      <w:rFonts w:ascii="Arial" w:hAnsi="Arial" w:cs="Arial"/>
                      <w:b/>
                      <w:bCs/>
                      <w:sz w:val="16"/>
                      <w:szCs w:val="16"/>
                      <w:lang w:val="de-DE"/>
                    </w:rPr>
                    <w:t>:</w:t>
                  </w:r>
                </w:p>
              </w:tc>
              <w:tc>
                <w:tcPr>
                  <w:tcW w:w="3116" w:type="dxa"/>
                  <w:tcBorders>
                    <w:top w:val="single" w:sz="2" w:space="0" w:color="auto"/>
                    <w:left w:val="single" w:sz="2" w:space="0" w:color="auto"/>
                    <w:bottom w:val="single" w:sz="2" w:space="0" w:color="auto"/>
                    <w:right w:val="single" w:sz="2" w:space="0" w:color="auto"/>
                  </w:tcBorders>
                  <w:shd w:val="clear" w:color="auto" w:fill="FFFFFF" w:themeFill="background1"/>
                </w:tcPr>
                <w:p w14:paraId="5796CD86" w14:textId="49BC7FDC" w:rsidR="00F71C19" w:rsidRPr="00FB21CC" w:rsidRDefault="00F71C19" w:rsidP="006439B7">
                  <w:pPr>
                    <w:jc w:val="both"/>
                    <w:rPr>
                      <w:rFonts w:ascii="Arial" w:hAnsi="Arial" w:cs="Arial"/>
                      <w:bCs/>
                      <w:sz w:val="16"/>
                      <w:szCs w:val="16"/>
                      <w:lang w:val="de-DE"/>
                    </w:rPr>
                  </w:pPr>
                  <w:r w:rsidRPr="00FB21CC">
                    <w:rPr>
                      <w:rFonts w:ascii="Arial" w:hAnsi="Arial" w:cs="Arial"/>
                      <w:bCs/>
                      <w:sz w:val="16"/>
                      <w:szCs w:val="16"/>
                      <w:lang w:val="de-DE"/>
                    </w:rPr>
                    <w:t xml:space="preserve">EUR </w:t>
                  </w:r>
                  <w:r w:rsidR="007321F9">
                    <w:rPr>
                      <w:rFonts w:ascii="Arial" w:hAnsi="Arial" w:cs="Arial"/>
                      <w:bCs/>
                      <w:sz w:val="16"/>
                      <w:szCs w:val="16"/>
                      <w:lang w:val="de-DE"/>
                    </w:rPr>
                    <w:t>10.400,00</w:t>
                  </w:r>
                </w:p>
              </w:tc>
            </w:tr>
            <w:tr w:rsidR="00F71C19" w:rsidRPr="009D74D1" w14:paraId="04F4B49E" w14:textId="4F575FE0" w:rsidTr="00D43547">
              <w:tc>
                <w:tcPr>
                  <w:tcW w:w="2269" w:type="dxa"/>
                  <w:vMerge/>
                  <w:tcBorders>
                    <w:top w:val="single" w:sz="2" w:space="0" w:color="auto"/>
                    <w:left w:val="nil"/>
                    <w:bottom w:val="single" w:sz="4" w:space="0" w:color="auto"/>
                    <w:right w:val="single" w:sz="2" w:space="0" w:color="auto"/>
                  </w:tcBorders>
                  <w:shd w:val="clear" w:color="auto" w:fill="FFFFFF" w:themeFill="background1"/>
                </w:tcPr>
                <w:p w14:paraId="4411A69D" w14:textId="77777777" w:rsidR="00F71C19" w:rsidRPr="004A55C1" w:rsidRDefault="00F71C19" w:rsidP="006439B7">
                  <w:pPr>
                    <w:jc w:val="both"/>
                    <w:rPr>
                      <w:rFonts w:ascii="Arial" w:hAnsi="Arial" w:cs="Arial"/>
                      <w:b/>
                      <w:bCs/>
                      <w:sz w:val="16"/>
                      <w:szCs w:val="16"/>
                      <w:lang w:val="de-DE"/>
                    </w:rPr>
                  </w:pPr>
                </w:p>
              </w:tc>
              <w:tc>
                <w:tcPr>
                  <w:tcW w:w="5844" w:type="dxa"/>
                  <w:gridSpan w:val="2"/>
                  <w:tcBorders>
                    <w:top w:val="single" w:sz="2" w:space="0" w:color="auto"/>
                    <w:left w:val="single" w:sz="2" w:space="0" w:color="auto"/>
                    <w:bottom w:val="single" w:sz="4" w:space="0" w:color="auto"/>
                    <w:right w:val="single" w:sz="2" w:space="0" w:color="auto"/>
                  </w:tcBorders>
                  <w:shd w:val="clear" w:color="auto" w:fill="FFFFFF" w:themeFill="background1"/>
                </w:tcPr>
                <w:p w14:paraId="7431C01B" w14:textId="77777777" w:rsidR="00F71C19" w:rsidRPr="004A55C1" w:rsidRDefault="00F71C19" w:rsidP="006439B7">
                  <w:pPr>
                    <w:jc w:val="both"/>
                    <w:rPr>
                      <w:rFonts w:ascii="Arial" w:hAnsi="Arial" w:cs="Arial"/>
                      <w:b/>
                      <w:bCs/>
                      <w:sz w:val="16"/>
                      <w:szCs w:val="16"/>
                      <w:lang w:val="de-DE"/>
                    </w:rPr>
                  </w:pPr>
                  <w:r w:rsidRPr="004A55C1">
                    <w:rPr>
                      <w:rFonts w:ascii="Arial" w:hAnsi="Arial" w:cs="Arial"/>
                      <w:bCs/>
                      <w:sz w:val="16"/>
                      <w:szCs w:val="16"/>
                      <w:lang w:val="de-DE"/>
                    </w:rPr>
                    <w:t>Jährliche Durchschnittsrendite</w:t>
                  </w:r>
                </w:p>
              </w:tc>
              <w:tc>
                <w:tcPr>
                  <w:tcW w:w="3116" w:type="dxa"/>
                  <w:tcBorders>
                    <w:top w:val="single" w:sz="2" w:space="0" w:color="auto"/>
                    <w:left w:val="single" w:sz="2" w:space="0" w:color="auto"/>
                    <w:bottom w:val="single" w:sz="4" w:space="0" w:color="auto"/>
                    <w:right w:val="single" w:sz="2" w:space="0" w:color="auto"/>
                  </w:tcBorders>
                  <w:shd w:val="clear" w:color="auto" w:fill="FFFFFF" w:themeFill="background1"/>
                </w:tcPr>
                <w:p w14:paraId="6605F82D" w14:textId="602252D6" w:rsidR="00F71C19" w:rsidRPr="00FB21CC" w:rsidRDefault="007321F9" w:rsidP="006439B7">
                  <w:pPr>
                    <w:jc w:val="both"/>
                    <w:rPr>
                      <w:rFonts w:ascii="Arial" w:hAnsi="Arial" w:cs="Arial"/>
                      <w:bCs/>
                      <w:sz w:val="16"/>
                      <w:szCs w:val="16"/>
                      <w:lang w:val="de-DE"/>
                    </w:rPr>
                  </w:pPr>
                  <w:r>
                    <w:rPr>
                      <w:rFonts w:ascii="Arial" w:hAnsi="Arial" w:cs="Arial"/>
                      <w:bCs/>
                      <w:sz w:val="16"/>
                      <w:szCs w:val="16"/>
                      <w:lang w:val="de-DE"/>
                    </w:rPr>
                    <w:t>2,00</w:t>
                  </w:r>
                  <w:r w:rsidR="00F71C19" w:rsidRPr="00FB21CC">
                    <w:rPr>
                      <w:rFonts w:ascii="Arial" w:hAnsi="Arial" w:cs="Arial"/>
                      <w:bCs/>
                      <w:sz w:val="16"/>
                      <w:szCs w:val="16"/>
                      <w:lang w:val="de-DE"/>
                    </w:rPr>
                    <w:t>%</w:t>
                  </w:r>
                </w:p>
              </w:tc>
            </w:tr>
          </w:tbl>
          <w:p w14:paraId="67816C7D" w14:textId="77777777" w:rsidR="005828E8" w:rsidRDefault="005828E8" w:rsidP="00720E1E">
            <w:pPr>
              <w:jc w:val="both"/>
              <w:rPr>
                <w:rFonts w:ascii="Arial" w:hAnsi="Arial" w:cs="Arial"/>
                <w:bCs/>
                <w:sz w:val="16"/>
                <w:szCs w:val="16"/>
                <w:lang w:val="de-DE"/>
              </w:rPr>
            </w:pPr>
          </w:p>
          <w:p w14:paraId="0B5D920C" w14:textId="77777777" w:rsidR="006439B7" w:rsidRDefault="006439B7" w:rsidP="00720E1E">
            <w:pPr>
              <w:jc w:val="both"/>
              <w:rPr>
                <w:rFonts w:ascii="Arial" w:hAnsi="Arial" w:cs="Arial"/>
                <w:bCs/>
                <w:sz w:val="16"/>
                <w:szCs w:val="16"/>
                <w:lang w:val="de-DE"/>
              </w:rPr>
            </w:pPr>
            <w:r w:rsidRPr="003F06A5">
              <w:rPr>
                <w:rFonts w:ascii="Arial" w:hAnsi="Arial" w:cs="Arial"/>
                <w:bCs/>
                <w:sz w:val="16"/>
                <w:szCs w:val="16"/>
                <w:lang w:val="de-DE"/>
              </w:rPr>
              <w:t>In den angeführten Zahlen sind sämtliche Kosten des Produkts selbst enthalten</w:t>
            </w:r>
            <w:r>
              <w:rPr>
                <w:rFonts w:ascii="Arial" w:hAnsi="Arial" w:cs="Arial"/>
                <w:bCs/>
                <w:sz w:val="16"/>
                <w:szCs w:val="16"/>
                <w:lang w:val="de-DE"/>
              </w:rPr>
              <w:t xml:space="preserve">, </w:t>
            </w:r>
            <w:r w:rsidRPr="003F06A5">
              <w:rPr>
                <w:rFonts w:ascii="Arial" w:hAnsi="Arial" w:cs="Arial"/>
                <w:bCs/>
                <w:sz w:val="16"/>
                <w:szCs w:val="16"/>
                <w:lang w:val="de-DE"/>
              </w:rPr>
              <w:t>jedoch unter Umständen nicht alle Kosten, die Sie an Ihren Berater oder Ihre Vertriebsstelle zahlen müssen, sowie die Kosten Ihres Beraters oder Ihrer Vertriebsstelle. Unberücksichtigt ist auch Ihre persönliche steuerliche Situation, die sich ebenfalls auf den am Ende erzielten Betrag auswirken kann</w:t>
            </w:r>
            <w:r w:rsidRPr="00B71F53">
              <w:rPr>
                <w:rFonts w:ascii="Arial" w:hAnsi="Arial" w:cs="Arial"/>
                <w:bCs/>
                <w:sz w:val="16"/>
                <w:szCs w:val="16"/>
                <w:lang w:val="de-DE"/>
              </w:rPr>
              <w:t>.</w:t>
            </w:r>
            <w:r w:rsidRPr="002E03E4">
              <w:rPr>
                <w:sz w:val="16"/>
                <w:szCs w:val="16"/>
                <w:lang w:val="de-DE"/>
              </w:rPr>
              <w:t xml:space="preserve"> </w:t>
            </w:r>
            <w:r w:rsidRPr="003F06A5">
              <w:rPr>
                <w:rFonts w:ascii="Arial" w:hAnsi="Arial" w:cs="Arial"/>
                <w:bCs/>
                <w:sz w:val="16"/>
                <w:szCs w:val="16"/>
                <w:lang w:val="de-DE"/>
              </w:rPr>
              <w:t>Das Stressszenario zeigt, was Sie unter extremen Marktbedingungen zurückbekommen könnten</w:t>
            </w:r>
            <w:r>
              <w:rPr>
                <w:rFonts w:ascii="Arial" w:hAnsi="Arial" w:cs="Arial"/>
                <w:bCs/>
                <w:sz w:val="16"/>
                <w:szCs w:val="16"/>
                <w:lang w:val="de-DE"/>
              </w:rPr>
              <w:t xml:space="preserve">. </w:t>
            </w:r>
            <w:r w:rsidRPr="003F06A5">
              <w:rPr>
                <w:rFonts w:ascii="Arial" w:hAnsi="Arial" w:cs="Arial"/>
                <w:bCs/>
                <w:sz w:val="16"/>
                <w:szCs w:val="16"/>
                <w:lang w:val="de-DE"/>
              </w:rPr>
              <w:t>Dieses Produkt kann nicht einfach eingelöst werden. Wenn Sie früher als zum Ende der empfohlenen</w:t>
            </w:r>
            <w:r>
              <w:rPr>
                <w:rFonts w:ascii="Arial" w:hAnsi="Arial" w:cs="Arial"/>
                <w:bCs/>
                <w:sz w:val="16"/>
                <w:szCs w:val="16"/>
                <w:lang w:val="de-DE"/>
              </w:rPr>
              <w:t xml:space="preserve"> </w:t>
            </w:r>
            <w:r w:rsidRPr="003F06A5">
              <w:rPr>
                <w:rFonts w:ascii="Arial" w:hAnsi="Arial" w:cs="Arial"/>
                <w:bCs/>
                <w:sz w:val="16"/>
                <w:szCs w:val="16"/>
                <w:lang w:val="de-DE"/>
              </w:rPr>
              <w:t>Haltedauer aussteigen, können zusätzliche Kosten anfallen</w:t>
            </w:r>
            <w:r>
              <w:rPr>
                <w:rFonts w:ascii="Arial" w:hAnsi="Arial" w:cs="Arial"/>
                <w:bCs/>
                <w:sz w:val="16"/>
                <w:szCs w:val="16"/>
                <w:lang w:val="de-DE"/>
              </w:rPr>
              <w:t>.</w:t>
            </w:r>
            <w:r w:rsidR="002D6D0B">
              <w:rPr>
                <w:lang w:val="de-DE"/>
              </w:rPr>
              <w:t xml:space="preserve"> </w:t>
            </w:r>
            <w:r w:rsidRPr="009911F2">
              <w:rPr>
                <w:rFonts w:ascii="Arial" w:hAnsi="Arial" w:cs="Arial"/>
                <w:bCs/>
                <w:sz w:val="16"/>
                <w:szCs w:val="16"/>
                <w:lang w:val="de-DE"/>
              </w:rPr>
              <w:t>Schlimmstenfalls könnten Sie Ihre gesamte Anlage verlieren.</w:t>
            </w:r>
          </w:p>
          <w:p w14:paraId="38B646B7" w14:textId="1BD578A1" w:rsidR="005828E8" w:rsidRPr="004A55C1" w:rsidRDefault="005828E8" w:rsidP="00720E1E">
            <w:pPr>
              <w:jc w:val="both"/>
              <w:rPr>
                <w:rFonts w:ascii="Arial" w:hAnsi="Arial" w:cs="Arial"/>
                <w:b/>
                <w:bCs/>
                <w:sz w:val="16"/>
                <w:szCs w:val="16"/>
                <w:lang w:val="de-DE"/>
              </w:rPr>
            </w:pPr>
          </w:p>
        </w:tc>
      </w:tr>
      <w:tr w:rsidR="00AC3DAF" w:rsidRPr="009D74D1" w14:paraId="6B9550B8" w14:textId="77777777" w:rsidTr="00720E1E">
        <w:tc>
          <w:tcPr>
            <w:tcW w:w="11483" w:type="dxa"/>
            <w:gridSpan w:val="3"/>
            <w:tcBorders>
              <w:left w:val="nil"/>
              <w:bottom w:val="single" w:sz="4" w:space="0" w:color="auto"/>
              <w:right w:val="nil"/>
            </w:tcBorders>
            <w:shd w:val="clear" w:color="auto" w:fill="FFFFFF" w:themeFill="background1"/>
          </w:tcPr>
          <w:p w14:paraId="19BDA7A7" w14:textId="77777777" w:rsidR="005828E8" w:rsidRDefault="005828E8" w:rsidP="00AC3DAF">
            <w:pPr>
              <w:jc w:val="both"/>
              <w:rPr>
                <w:rFonts w:ascii="Arial" w:hAnsi="Arial" w:cs="Arial"/>
                <w:b/>
                <w:color w:val="548DD4" w:themeColor="text2" w:themeTint="99"/>
                <w:sz w:val="18"/>
                <w:szCs w:val="18"/>
                <w:lang w:val="de-DE"/>
              </w:rPr>
            </w:pPr>
          </w:p>
          <w:p w14:paraId="6B631C3F" w14:textId="6AD04744" w:rsidR="00AC3DAF" w:rsidRPr="003F1291" w:rsidRDefault="00AC3DAF" w:rsidP="00AC3DAF">
            <w:pPr>
              <w:jc w:val="both"/>
              <w:rPr>
                <w:rFonts w:ascii="Arial" w:hAnsi="Arial" w:cs="Arial"/>
                <w:b/>
                <w:color w:val="548DD4" w:themeColor="text2" w:themeTint="99"/>
                <w:sz w:val="18"/>
                <w:szCs w:val="18"/>
                <w:lang w:val="de-DE"/>
              </w:rPr>
            </w:pPr>
            <w:r w:rsidRPr="003F1291">
              <w:rPr>
                <w:rFonts w:ascii="Arial" w:hAnsi="Arial" w:cs="Arial"/>
                <w:b/>
                <w:color w:val="548DD4" w:themeColor="text2" w:themeTint="99"/>
                <w:sz w:val="18"/>
                <w:szCs w:val="18"/>
                <w:lang w:val="de-DE"/>
              </w:rPr>
              <w:t xml:space="preserve">Was geschieht, </w:t>
            </w:r>
            <w:r w:rsidRPr="002307CE">
              <w:rPr>
                <w:rFonts w:ascii="Arial" w:hAnsi="Arial" w:cs="Arial"/>
                <w:b/>
                <w:color w:val="548DD4" w:themeColor="text2" w:themeTint="99"/>
                <w:sz w:val="18"/>
                <w:szCs w:val="18"/>
                <w:lang w:val="de-DE"/>
              </w:rPr>
              <w:t xml:space="preserve">wenn die </w:t>
            </w:r>
            <w:r w:rsidR="00FE039F">
              <w:rPr>
                <w:rFonts w:ascii="Arial" w:hAnsi="Arial" w:cs="Arial"/>
                <w:b/>
                <w:color w:val="548DD4" w:themeColor="text2" w:themeTint="99"/>
                <w:sz w:val="18"/>
                <w:szCs w:val="18"/>
                <w:lang w:val="de-DE"/>
              </w:rPr>
              <w:t>SynBiotic SE</w:t>
            </w:r>
            <w:r w:rsidR="0087345B" w:rsidRPr="002307CE">
              <w:rPr>
                <w:rFonts w:ascii="Arial" w:hAnsi="Arial" w:cs="Arial"/>
                <w:b/>
                <w:color w:val="548DD4" w:themeColor="text2" w:themeTint="99"/>
                <w:sz w:val="18"/>
                <w:szCs w:val="18"/>
                <w:lang w:val="de-DE"/>
              </w:rPr>
              <w:t xml:space="preserve"> </w:t>
            </w:r>
            <w:r w:rsidRPr="002307CE">
              <w:rPr>
                <w:rFonts w:ascii="Arial" w:hAnsi="Arial" w:cs="Arial"/>
                <w:b/>
                <w:color w:val="548DD4" w:themeColor="text2" w:themeTint="99"/>
                <w:sz w:val="18"/>
                <w:szCs w:val="18"/>
                <w:lang w:val="de-DE"/>
              </w:rPr>
              <w:t>nic</w:t>
            </w:r>
            <w:r w:rsidRPr="003F1291">
              <w:rPr>
                <w:rFonts w:ascii="Arial" w:hAnsi="Arial" w:cs="Arial"/>
                <w:b/>
                <w:color w:val="548DD4" w:themeColor="text2" w:themeTint="99"/>
                <w:sz w:val="18"/>
                <w:szCs w:val="18"/>
                <w:lang w:val="de-DE"/>
              </w:rPr>
              <w:t>ht in der Lage ist, die Auszahlung vorzunehmen?</w:t>
            </w:r>
          </w:p>
          <w:p w14:paraId="2116B84F" w14:textId="77777777" w:rsidR="007321F9" w:rsidRDefault="007321F9" w:rsidP="00AC3DAF">
            <w:pPr>
              <w:jc w:val="both"/>
              <w:rPr>
                <w:rFonts w:ascii="Arial" w:hAnsi="Arial" w:cs="Arial"/>
                <w:bCs/>
                <w:sz w:val="16"/>
                <w:szCs w:val="16"/>
                <w:lang w:val="de-DE"/>
              </w:rPr>
            </w:pPr>
          </w:p>
          <w:p w14:paraId="452E7946" w14:textId="77777777" w:rsidR="00AC3DAF" w:rsidRDefault="00AC3DAF" w:rsidP="00AC3DAF">
            <w:pPr>
              <w:jc w:val="both"/>
              <w:rPr>
                <w:rFonts w:ascii="Arial" w:hAnsi="Arial" w:cs="Arial"/>
                <w:bCs/>
                <w:sz w:val="16"/>
                <w:szCs w:val="16"/>
                <w:lang w:val="de-DE"/>
              </w:rPr>
            </w:pPr>
            <w:r w:rsidRPr="00F5110B">
              <w:rPr>
                <w:rFonts w:ascii="Arial" w:hAnsi="Arial" w:cs="Arial"/>
                <w:bCs/>
                <w:sz w:val="16"/>
                <w:szCs w:val="16"/>
                <w:lang w:val="de-DE"/>
              </w:rPr>
              <w:t xml:space="preserve">Sie sind dem Risiko ausgesetzt, dass die </w:t>
            </w:r>
            <w:r>
              <w:rPr>
                <w:rFonts w:ascii="Arial" w:hAnsi="Arial" w:cs="Arial"/>
                <w:bCs/>
                <w:sz w:val="16"/>
                <w:szCs w:val="16"/>
                <w:lang w:val="de-DE"/>
              </w:rPr>
              <w:t>Emittentin</w:t>
            </w:r>
            <w:r w:rsidRPr="00F5110B">
              <w:rPr>
                <w:rFonts w:ascii="Arial" w:hAnsi="Arial" w:cs="Arial"/>
                <w:bCs/>
                <w:sz w:val="16"/>
                <w:szCs w:val="16"/>
                <w:lang w:val="de-DE"/>
              </w:rPr>
              <w:t xml:space="preserve"> ihre Verpflichtungen aus dem Produkt – beispielsweise im Falle einer</w:t>
            </w:r>
            <w:r w:rsidR="001521D6">
              <w:rPr>
                <w:rFonts w:ascii="Arial" w:hAnsi="Arial" w:cs="Arial"/>
                <w:bCs/>
                <w:sz w:val="16"/>
                <w:szCs w:val="16"/>
                <w:lang w:val="de-DE"/>
              </w:rPr>
              <w:t xml:space="preserve"> (drohenden)</w:t>
            </w:r>
            <w:r w:rsidRPr="00F5110B">
              <w:rPr>
                <w:rFonts w:ascii="Arial" w:hAnsi="Arial" w:cs="Arial"/>
                <w:bCs/>
                <w:sz w:val="16"/>
                <w:szCs w:val="16"/>
                <w:lang w:val="de-DE"/>
              </w:rPr>
              <w:t xml:space="preserve"> Insolvenz (Zahlungsunfähigkeit / Überschuldung) – nicht erfüllen kann. Wenn die </w:t>
            </w:r>
            <w:r>
              <w:rPr>
                <w:rFonts w:ascii="Arial" w:hAnsi="Arial" w:cs="Arial"/>
                <w:bCs/>
                <w:sz w:val="16"/>
                <w:szCs w:val="16"/>
                <w:lang w:val="de-DE"/>
              </w:rPr>
              <w:t>Emittentin</w:t>
            </w:r>
            <w:r w:rsidRPr="00F5110B">
              <w:rPr>
                <w:rFonts w:ascii="Arial" w:hAnsi="Arial" w:cs="Arial"/>
                <w:bCs/>
                <w:sz w:val="16"/>
                <w:szCs w:val="16"/>
                <w:lang w:val="de-DE"/>
              </w:rPr>
              <w:t xml:space="preserve"> nicht in der Lage ist, ihren Zahlungsverpflichtungen nachzukommen, können Sie Verluste aus diesem Produkt erleiden. Ein </w:t>
            </w:r>
            <w:r w:rsidRPr="00BB0EE0">
              <w:rPr>
                <w:rFonts w:ascii="Arial" w:hAnsi="Arial" w:cs="Arial"/>
                <w:b/>
                <w:bCs/>
                <w:sz w:val="16"/>
                <w:szCs w:val="16"/>
                <w:lang w:val="de-DE"/>
              </w:rPr>
              <w:t>Totalverlust</w:t>
            </w:r>
            <w:r w:rsidRPr="00F5110B">
              <w:rPr>
                <w:rFonts w:ascii="Arial" w:hAnsi="Arial" w:cs="Arial"/>
                <w:bCs/>
                <w:sz w:val="16"/>
                <w:szCs w:val="16"/>
                <w:lang w:val="de-DE"/>
              </w:rPr>
              <w:t xml:space="preserve"> des eingesetzten Kapitals ist möglich. Ein möglicher Verlust ist nicht durch ein Entschädigungs- oder Sicherungssystem für Anleger abgesichert.</w:t>
            </w:r>
          </w:p>
          <w:p w14:paraId="7B2F95DE" w14:textId="70E6A8BC" w:rsidR="00FE039F" w:rsidRPr="00F5110B" w:rsidRDefault="00FE039F" w:rsidP="00FE039F">
            <w:pPr>
              <w:jc w:val="both"/>
              <w:rPr>
                <w:rFonts w:ascii="Arial" w:hAnsi="Arial" w:cs="Arial"/>
                <w:bCs/>
                <w:sz w:val="16"/>
                <w:szCs w:val="16"/>
                <w:lang w:val="de-DE"/>
              </w:rPr>
            </w:pPr>
            <w:r w:rsidRPr="00FE039F">
              <w:rPr>
                <w:rFonts w:ascii="Arial" w:hAnsi="Arial" w:cs="Arial"/>
                <w:bCs/>
                <w:sz w:val="16"/>
                <w:szCs w:val="16"/>
                <w:lang w:val="de-DE"/>
              </w:rPr>
              <w:t>Das Produkt unterliegt keiner Einlagensicherung</w:t>
            </w:r>
            <w:r>
              <w:rPr>
                <w:rFonts w:ascii="Arial" w:hAnsi="Arial" w:cs="Arial"/>
                <w:bCs/>
                <w:sz w:val="16"/>
                <w:szCs w:val="16"/>
                <w:lang w:val="de-DE"/>
              </w:rPr>
              <w:t>.</w:t>
            </w:r>
          </w:p>
        </w:tc>
      </w:tr>
      <w:tr w:rsidR="00AC3DAF" w:rsidRPr="009D74D1" w14:paraId="6B08541D" w14:textId="77777777" w:rsidTr="00720E1E">
        <w:tc>
          <w:tcPr>
            <w:tcW w:w="11483" w:type="dxa"/>
            <w:gridSpan w:val="3"/>
            <w:tcBorders>
              <w:left w:val="nil"/>
              <w:bottom w:val="nil"/>
              <w:right w:val="nil"/>
            </w:tcBorders>
            <w:shd w:val="clear" w:color="auto" w:fill="FFFFFF" w:themeFill="background1"/>
          </w:tcPr>
          <w:p w14:paraId="2501F227" w14:textId="77777777" w:rsidR="007321F9" w:rsidRDefault="007321F9" w:rsidP="00AC3DAF">
            <w:pPr>
              <w:jc w:val="both"/>
              <w:rPr>
                <w:rFonts w:ascii="Arial" w:hAnsi="Arial" w:cs="Arial"/>
                <w:b/>
                <w:color w:val="548DD4" w:themeColor="text2" w:themeTint="99"/>
                <w:sz w:val="18"/>
                <w:szCs w:val="18"/>
                <w:lang w:val="de-DE"/>
              </w:rPr>
            </w:pPr>
          </w:p>
          <w:p w14:paraId="1E035CDE" w14:textId="77777777" w:rsidR="007321F9" w:rsidRDefault="007321F9" w:rsidP="00AC3DAF">
            <w:pPr>
              <w:jc w:val="both"/>
              <w:rPr>
                <w:rFonts w:ascii="Arial" w:hAnsi="Arial" w:cs="Arial"/>
                <w:b/>
                <w:color w:val="548DD4" w:themeColor="text2" w:themeTint="99"/>
                <w:sz w:val="18"/>
                <w:szCs w:val="18"/>
                <w:lang w:val="de-DE"/>
              </w:rPr>
            </w:pPr>
          </w:p>
          <w:p w14:paraId="002C0E62" w14:textId="77777777" w:rsidR="007321F9" w:rsidRDefault="007321F9" w:rsidP="00AC3DAF">
            <w:pPr>
              <w:jc w:val="both"/>
              <w:rPr>
                <w:rFonts w:ascii="Arial" w:hAnsi="Arial" w:cs="Arial"/>
                <w:b/>
                <w:color w:val="548DD4" w:themeColor="text2" w:themeTint="99"/>
                <w:sz w:val="18"/>
                <w:szCs w:val="18"/>
                <w:lang w:val="de-DE"/>
              </w:rPr>
            </w:pPr>
          </w:p>
          <w:p w14:paraId="1F8ADDF9" w14:textId="77777777" w:rsidR="007321F9" w:rsidRDefault="007321F9" w:rsidP="00AC3DAF">
            <w:pPr>
              <w:jc w:val="both"/>
              <w:rPr>
                <w:rFonts w:ascii="Arial" w:hAnsi="Arial" w:cs="Arial"/>
                <w:b/>
                <w:color w:val="548DD4" w:themeColor="text2" w:themeTint="99"/>
                <w:sz w:val="18"/>
                <w:szCs w:val="18"/>
                <w:lang w:val="de-DE"/>
              </w:rPr>
            </w:pPr>
          </w:p>
          <w:p w14:paraId="16123215" w14:textId="77777777" w:rsidR="007321F9" w:rsidRDefault="007321F9" w:rsidP="00AC3DAF">
            <w:pPr>
              <w:jc w:val="both"/>
              <w:rPr>
                <w:rFonts w:ascii="Arial" w:hAnsi="Arial" w:cs="Arial"/>
                <w:b/>
                <w:color w:val="548DD4" w:themeColor="text2" w:themeTint="99"/>
                <w:sz w:val="18"/>
                <w:szCs w:val="18"/>
                <w:lang w:val="de-DE"/>
              </w:rPr>
            </w:pPr>
          </w:p>
          <w:p w14:paraId="51EDDC80" w14:textId="77777777" w:rsidR="007321F9" w:rsidRDefault="007321F9" w:rsidP="00AC3DAF">
            <w:pPr>
              <w:jc w:val="both"/>
              <w:rPr>
                <w:rFonts w:ascii="Arial" w:hAnsi="Arial" w:cs="Arial"/>
                <w:b/>
                <w:color w:val="548DD4" w:themeColor="text2" w:themeTint="99"/>
                <w:sz w:val="18"/>
                <w:szCs w:val="18"/>
                <w:lang w:val="de-DE"/>
              </w:rPr>
            </w:pPr>
          </w:p>
          <w:p w14:paraId="5E98B726" w14:textId="46C406D3" w:rsidR="00AC3DAF" w:rsidRPr="003F1291" w:rsidRDefault="00AC3DAF" w:rsidP="00AC3DAF">
            <w:pPr>
              <w:jc w:val="both"/>
              <w:rPr>
                <w:rFonts w:ascii="Arial" w:hAnsi="Arial" w:cs="Arial"/>
                <w:color w:val="548DD4" w:themeColor="text2" w:themeTint="99"/>
                <w:sz w:val="18"/>
                <w:szCs w:val="18"/>
                <w:lang w:val="de-DE"/>
              </w:rPr>
            </w:pPr>
            <w:r w:rsidRPr="003F1291">
              <w:rPr>
                <w:rFonts w:ascii="Arial" w:hAnsi="Arial" w:cs="Arial"/>
                <w:b/>
                <w:color w:val="548DD4" w:themeColor="text2" w:themeTint="99"/>
                <w:sz w:val="18"/>
                <w:szCs w:val="18"/>
                <w:lang w:val="de-DE"/>
              </w:rPr>
              <w:t>Welche Kosten entstehen?</w:t>
            </w:r>
          </w:p>
          <w:p w14:paraId="0B6634E8" w14:textId="06A9AE8A" w:rsidR="00AC3DAF" w:rsidRPr="00F5110B" w:rsidRDefault="006439B7" w:rsidP="00C86BCC">
            <w:pPr>
              <w:jc w:val="both"/>
              <w:rPr>
                <w:rFonts w:ascii="Arial" w:hAnsi="Arial" w:cs="Arial"/>
                <w:color w:val="548DD4" w:themeColor="text2" w:themeTint="99"/>
                <w:sz w:val="16"/>
                <w:szCs w:val="16"/>
                <w:lang w:val="de-DE"/>
              </w:rPr>
            </w:pPr>
            <w:r w:rsidRPr="00077716">
              <w:rPr>
                <w:rFonts w:ascii="Arial" w:hAnsi="Arial" w:cs="Arial"/>
                <w:sz w:val="16"/>
                <w:szCs w:val="16"/>
                <w:lang w:val="de-DE"/>
              </w:rPr>
              <w:t>Die Person, die Ihnen dieses Produkt verkauft oder Sie dazu berät, kann Ihnen weitere Kosten berechnen. Sollte dies der Fall sein, teilt diese Person Ihnen diese</w:t>
            </w:r>
            <w:r>
              <w:rPr>
                <w:rFonts w:ascii="Arial" w:hAnsi="Arial" w:cs="Arial"/>
                <w:sz w:val="16"/>
                <w:szCs w:val="16"/>
                <w:lang w:val="de-DE"/>
              </w:rPr>
              <w:t xml:space="preserve"> </w:t>
            </w:r>
            <w:r w:rsidRPr="00077716">
              <w:rPr>
                <w:rFonts w:ascii="Arial" w:hAnsi="Arial" w:cs="Arial"/>
                <w:sz w:val="16"/>
                <w:szCs w:val="16"/>
                <w:lang w:val="de-DE"/>
              </w:rPr>
              <w:t>Kosten mit und legt dar, wie sich diese Kosten auf Ihre Anlage auswirken werden</w:t>
            </w:r>
            <w:r w:rsidRPr="00F5110B">
              <w:rPr>
                <w:rFonts w:ascii="Arial" w:hAnsi="Arial" w:cs="Arial"/>
                <w:sz w:val="16"/>
                <w:szCs w:val="16"/>
                <w:lang w:val="de-DE"/>
              </w:rPr>
              <w:t>.</w:t>
            </w:r>
          </w:p>
        </w:tc>
      </w:tr>
      <w:tr w:rsidR="00AC3DAF" w:rsidRPr="009D74D1" w14:paraId="5D84A1B5" w14:textId="77777777" w:rsidTr="00720E1E">
        <w:tc>
          <w:tcPr>
            <w:tcW w:w="11483" w:type="dxa"/>
            <w:gridSpan w:val="3"/>
            <w:tcBorders>
              <w:top w:val="nil"/>
              <w:left w:val="nil"/>
              <w:bottom w:val="nil"/>
              <w:right w:val="nil"/>
            </w:tcBorders>
            <w:shd w:val="clear" w:color="auto" w:fill="FFFFFF" w:themeFill="background1"/>
          </w:tcPr>
          <w:p w14:paraId="24C76752" w14:textId="77777777" w:rsidR="007321F9" w:rsidRDefault="007321F9" w:rsidP="00AC3DAF">
            <w:pPr>
              <w:jc w:val="both"/>
              <w:rPr>
                <w:rFonts w:ascii="Arial" w:hAnsi="Arial" w:cs="Arial"/>
                <w:b/>
                <w:sz w:val="16"/>
                <w:szCs w:val="16"/>
                <w:lang w:val="de-DE"/>
              </w:rPr>
            </w:pPr>
          </w:p>
          <w:p w14:paraId="10478064" w14:textId="1FD0B549" w:rsidR="00AC3DAF" w:rsidRDefault="00AC3DAF" w:rsidP="00AC3DAF">
            <w:pPr>
              <w:jc w:val="both"/>
              <w:rPr>
                <w:rFonts w:ascii="Arial" w:hAnsi="Arial" w:cs="Arial"/>
                <w:b/>
                <w:sz w:val="16"/>
                <w:szCs w:val="16"/>
                <w:lang w:val="de-DE"/>
              </w:rPr>
            </w:pPr>
            <w:r w:rsidRPr="00E16415">
              <w:rPr>
                <w:rFonts w:ascii="Arial" w:hAnsi="Arial" w:cs="Arial"/>
                <w:b/>
                <w:sz w:val="16"/>
                <w:szCs w:val="16"/>
                <w:lang w:val="de-DE"/>
              </w:rPr>
              <w:t>Kosten im Zeitverlauf</w:t>
            </w:r>
          </w:p>
          <w:p w14:paraId="569BCB9D" w14:textId="55BDD0AD" w:rsidR="006439B7" w:rsidRDefault="006439B7" w:rsidP="006439B7">
            <w:pPr>
              <w:jc w:val="both"/>
              <w:rPr>
                <w:rFonts w:ascii="Arial" w:hAnsi="Arial" w:cs="Arial"/>
                <w:sz w:val="16"/>
                <w:szCs w:val="16"/>
                <w:lang w:val="de-DE"/>
              </w:rPr>
            </w:pPr>
            <w:r w:rsidRPr="00077716">
              <w:rPr>
                <w:rFonts w:ascii="Arial" w:hAnsi="Arial" w:cs="Arial"/>
                <w:sz w:val="16"/>
                <w:szCs w:val="16"/>
                <w:lang w:val="de-DE"/>
              </w:rPr>
              <w:t>In den Tabellen werden Beträge dargestellt, die zur Deckung verschiedener Kostenarten von Ihrer Anlage entnommen werden. Diese</w:t>
            </w:r>
            <w:r>
              <w:rPr>
                <w:rFonts w:ascii="Arial" w:hAnsi="Arial" w:cs="Arial"/>
                <w:sz w:val="16"/>
                <w:szCs w:val="16"/>
                <w:lang w:val="de-DE"/>
              </w:rPr>
              <w:t xml:space="preserve"> </w:t>
            </w:r>
            <w:r w:rsidRPr="00077716">
              <w:rPr>
                <w:rFonts w:ascii="Arial" w:hAnsi="Arial" w:cs="Arial"/>
                <w:sz w:val="16"/>
                <w:szCs w:val="16"/>
                <w:lang w:val="de-DE"/>
              </w:rPr>
              <w:t>Beträge hängen davon ab, wie viel Sie anlegen, wie lange Sie das Produkt halten und wie gut sich das Produkt entwickelt. Die hier</w:t>
            </w:r>
            <w:r>
              <w:rPr>
                <w:rFonts w:ascii="Arial" w:hAnsi="Arial" w:cs="Arial"/>
                <w:sz w:val="16"/>
                <w:szCs w:val="16"/>
                <w:lang w:val="de-DE"/>
              </w:rPr>
              <w:t xml:space="preserve"> </w:t>
            </w:r>
            <w:r w:rsidRPr="00077716">
              <w:rPr>
                <w:rFonts w:ascii="Arial" w:hAnsi="Arial" w:cs="Arial"/>
                <w:sz w:val="16"/>
                <w:szCs w:val="16"/>
                <w:lang w:val="de-DE"/>
              </w:rPr>
              <w:t>dargestellten Beträge veranschaulichen einen beispielhaften Anlagebetrag und verschiedene Anlagezeiträume</w:t>
            </w:r>
            <w:r>
              <w:rPr>
                <w:rFonts w:ascii="Arial" w:hAnsi="Arial" w:cs="Arial"/>
                <w:sz w:val="16"/>
                <w:szCs w:val="16"/>
                <w:lang w:val="de-DE"/>
              </w:rPr>
              <w:t>.</w:t>
            </w:r>
          </w:p>
          <w:p w14:paraId="6DFB6332" w14:textId="77777777" w:rsidR="00720E1E" w:rsidRDefault="00720E1E" w:rsidP="006439B7">
            <w:pPr>
              <w:jc w:val="both"/>
              <w:rPr>
                <w:rFonts w:ascii="Arial" w:hAnsi="Arial" w:cs="Arial"/>
                <w:sz w:val="16"/>
                <w:szCs w:val="16"/>
                <w:lang w:val="de-DE"/>
              </w:rPr>
            </w:pPr>
          </w:p>
          <w:p w14:paraId="31DF3AA0" w14:textId="77777777" w:rsidR="006439B7" w:rsidRPr="00F05E25" w:rsidRDefault="006439B7" w:rsidP="006439B7">
            <w:pPr>
              <w:jc w:val="both"/>
              <w:rPr>
                <w:rFonts w:ascii="Arial" w:hAnsi="Arial" w:cs="Arial"/>
                <w:sz w:val="16"/>
                <w:szCs w:val="16"/>
                <w:lang w:val="de-DE"/>
              </w:rPr>
            </w:pPr>
            <w:r w:rsidRPr="00F05E25">
              <w:rPr>
                <w:rFonts w:ascii="Arial" w:hAnsi="Arial" w:cs="Arial"/>
                <w:sz w:val="16"/>
                <w:szCs w:val="16"/>
                <w:lang w:val="de-DE"/>
              </w:rPr>
              <w:t>Wir haben folgende Annahme zugrunde gelegt:</w:t>
            </w:r>
          </w:p>
          <w:p w14:paraId="5BD8D7E0" w14:textId="77777777" w:rsidR="006439B7" w:rsidRPr="00F05E25" w:rsidRDefault="006439B7" w:rsidP="006439B7">
            <w:pPr>
              <w:jc w:val="both"/>
              <w:rPr>
                <w:rFonts w:ascii="Arial" w:hAnsi="Arial" w:cs="Arial"/>
                <w:sz w:val="16"/>
                <w:szCs w:val="16"/>
                <w:lang w:val="de-DE"/>
              </w:rPr>
            </w:pPr>
            <w:r w:rsidRPr="00F05E25">
              <w:rPr>
                <w:rFonts w:ascii="Arial" w:hAnsi="Arial" w:cs="Arial"/>
                <w:sz w:val="16"/>
                <w:szCs w:val="16"/>
                <w:lang w:val="de-DE"/>
              </w:rPr>
              <w:t xml:space="preserve">• </w:t>
            </w:r>
            <w:r>
              <w:rPr>
                <w:rFonts w:ascii="Arial" w:hAnsi="Arial" w:cs="Arial"/>
                <w:sz w:val="16"/>
                <w:szCs w:val="16"/>
                <w:lang w:val="de-DE"/>
              </w:rPr>
              <w:t>EUR 10.000,-</w:t>
            </w:r>
            <w:r w:rsidRPr="00F05E25">
              <w:rPr>
                <w:rFonts w:ascii="Arial" w:hAnsi="Arial" w:cs="Arial"/>
                <w:sz w:val="16"/>
                <w:szCs w:val="16"/>
                <w:lang w:val="de-DE"/>
              </w:rPr>
              <w:t xml:space="preserve"> werden angelegt</w:t>
            </w:r>
          </w:p>
          <w:p w14:paraId="3E941159" w14:textId="77777777" w:rsidR="006439B7" w:rsidRDefault="006439B7" w:rsidP="006439B7">
            <w:pPr>
              <w:jc w:val="both"/>
              <w:rPr>
                <w:rFonts w:ascii="Arial" w:hAnsi="Arial" w:cs="Arial"/>
                <w:sz w:val="16"/>
                <w:szCs w:val="16"/>
                <w:lang w:val="de-DE"/>
              </w:rPr>
            </w:pPr>
            <w:r w:rsidRPr="00F05E25">
              <w:rPr>
                <w:rFonts w:ascii="Arial" w:hAnsi="Arial" w:cs="Arial"/>
                <w:sz w:val="16"/>
                <w:szCs w:val="16"/>
                <w:lang w:val="de-DE"/>
              </w:rPr>
              <w:t xml:space="preserve">• </w:t>
            </w:r>
            <w:r>
              <w:rPr>
                <w:rFonts w:ascii="Arial" w:hAnsi="Arial" w:cs="Arial"/>
                <w:sz w:val="16"/>
                <w:szCs w:val="16"/>
                <w:lang w:val="de-DE"/>
              </w:rPr>
              <w:t>Für die Halteperiode haben wir angenommen, dass sich das Produkt wie im mittleren Szenario dargestellt entwickelt</w:t>
            </w:r>
          </w:p>
          <w:p w14:paraId="5AD2A158" w14:textId="4243D01F" w:rsidR="003E7D38" w:rsidRPr="00E16415" w:rsidRDefault="003E7D38" w:rsidP="006439B7">
            <w:pPr>
              <w:jc w:val="both"/>
              <w:rPr>
                <w:rFonts w:ascii="Arial" w:hAnsi="Arial" w:cs="Arial"/>
                <w:sz w:val="16"/>
                <w:szCs w:val="16"/>
                <w:lang w:val="de-DE"/>
              </w:rPr>
            </w:pPr>
          </w:p>
        </w:tc>
      </w:tr>
      <w:tr w:rsidR="00591D9C" w:rsidRPr="009D74D1" w14:paraId="7A513778" w14:textId="77777777" w:rsidTr="00720E1E">
        <w:trPr>
          <w:trHeight w:val="491"/>
        </w:trPr>
        <w:tc>
          <w:tcPr>
            <w:tcW w:w="3402" w:type="dxa"/>
            <w:gridSpan w:val="2"/>
            <w:tcBorders>
              <w:top w:val="single" w:sz="4" w:space="0" w:color="auto"/>
              <w:bottom w:val="nil"/>
              <w:right w:val="nil"/>
            </w:tcBorders>
            <w:shd w:val="clear" w:color="auto" w:fill="548DD4" w:themeFill="text2" w:themeFillTint="99"/>
          </w:tcPr>
          <w:p w14:paraId="29F8D756" w14:textId="64B330C2" w:rsidR="00591D9C" w:rsidRPr="00F5110B" w:rsidRDefault="00591D9C" w:rsidP="00AC3DAF">
            <w:pPr>
              <w:jc w:val="both"/>
              <w:rPr>
                <w:rFonts w:ascii="Arial" w:hAnsi="Arial" w:cs="Arial"/>
                <w:b/>
                <w:color w:val="FFFFFF" w:themeColor="background1"/>
                <w:sz w:val="16"/>
                <w:szCs w:val="16"/>
                <w:lang w:val="de-DE"/>
              </w:rPr>
            </w:pPr>
          </w:p>
        </w:tc>
        <w:tc>
          <w:tcPr>
            <w:tcW w:w="8081" w:type="dxa"/>
            <w:tcBorders>
              <w:top w:val="single" w:sz="4" w:space="0" w:color="auto"/>
              <w:left w:val="nil"/>
              <w:bottom w:val="nil"/>
            </w:tcBorders>
            <w:shd w:val="clear" w:color="auto" w:fill="548DD4" w:themeFill="text2" w:themeFillTint="99"/>
          </w:tcPr>
          <w:p w14:paraId="3597F8BF" w14:textId="77777777" w:rsidR="00591D9C" w:rsidRDefault="00591D9C" w:rsidP="00AC3DAF">
            <w:pPr>
              <w:jc w:val="both"/>
              <w:rPr>
                <w:rFonts w:ascii="Arial" w:hAnsi="Arial" w:cs="Arial"/>
                <w:b/>
                <w:color w:val="FFFFFF" w:themeColor="background1"/>
                <w:sz w:val="16"/>
                <w:szCs w:val="16"/>
                <w:lang w:val="de-DE"/>
              </w:rPr>
            </w:pPr>
          </w:p>
          <w:p w14:paraId="7061FDC4" w14:textId="5EB455CC" w:rsidR="00591D9C" w:rsidRPr="00F5110B" w:rsidRDefault="00591D9C" w:rsidP="00AC3DAF">
            <w:pPr>
              <w:jc w:val="both"/>
              <w:rPr>
                <w:rFonts w:ascii="Arial" w:hAnsi="Arial" w:cs="Arial"/>
                <w:b/>
                <w:color w:val="FFFFFF" w:themeColor="background1"/>
                <w:sz w:val="16"/>
                <w:szCs w:val="16"/>
                <w:lang w:val="de-DE"/>
              </w:rPr>
            </w:pPr>
            <w:r>
              <w:rPr>
                <w:rFonts w:ascii="Arial" w:hAnsi="Arial" w:cs="Arial"/>
                <w:b/>
                <w:color w:val="FFFFFF" w:themeColor="background1"/>
                <w:sz w:val="16"/>
                <w:szCs w:val="16"/>
                <w:lang w:val="de-DE"/>
              </w:rPr>
              <w:t>Wenn Sie am Ende der empfohlenen Haltedauer (</w:t>
            </w:r>
            <w:r w:rsidR="007321F9">
              <w:rPr>
                <w:rFonts w:ascii="Arial" w:hAnsi="Arial" w:cs="Arial"/>
                <w:b/>
                <w:color w:val="FFFFFF" w:themeColor="background1"/>
                <w:sz w:val="16"/>
                <w:szCs w:val="16"/>
                <w:lang w:val="de-DE"/>
              </w:rPr>
              <w:t>2 Jahren</w:t>
            </w:r>
            <w:r>
              <w:rPr>
                <w:rFonts w:ascii="Arial" w:hAnsi="Arial" w:cs="Arial"/>
                <w:b/>
                <w:color w:val="FFFFFF" w:themeColor="background1"/>
                <w:sz w:val="16"/>
                <w:szCs w:val="16"/>
                <w:lang w:val="de-DE"/>
              </w:rPr>
              <w:t>) aussteigen</w:t>
            </w:r>
          </w:p>
        </w:tc>
      </w:tr>
      <w:tr w:rsidR="00591D9C" w:rsidRPr="004A55C1" w14:paraId="0F464E9C" w14:textId="77777777" w:rsidTr="00720E1E">
        <w:trPr>
          <w:trHeight w:val="39"/>
        </w:trPr>
        <w:tc>
          <w:tcPr>
            <w:tcW w:w="3402" w:type="dxa"/>
            <w:gridSpan w:val="2"/>
            <w:tcBorders>
              <w:top w:val="nil"/>
              <w:bottom w:val="nil"/>
              <w:right w:val="nil"/>
            </w:tcBorders>
            <w:shd w:val="clear" w:color="auto" w:fill="C6D9F1" w:themeFill="text2" w:themeFillTint="33"/>
          </w:tcPr>
          <w:p w14:paraId="16A4643E" w14:textId="05CB561C" w:rsidR="00591D9C" w:rsidRPr="00F5110B" w:rsidRDefault="00591D9C" w:rsidP="00AC3DAF">
            <w:pPr>
              <w:jc w:val="both"/>
              <w:rPr>
                <w:rFonts w:ascii="Arial" w:hAnsi="Arial" w:cs="Arial"/>
                <w:b/>
                <w:sz w:val="16"/>
                <w:szCs w:val="16"/>
                <w:lang w:val="de-DE"/>
              </w:rPr>
            </w:pPr>
            <w:r>
              <w:rPr>
                <w:rFonts w:ascii="Arial" w:hAnsi="Arial" w:cs="Arial"/>
                <w:b/>
                <w:sz w:val="16"/>
                <w:szCs w:val="16"/>
                <w:lang w:val="de-DE"/>
              </w:rPr>
              <w:t>Kosten gesamt</w:t>
            </w:r>
          </w:p>
        </w:tc>
        <w:tc>
          <w:tcPr>
            <w:tcW w:w="8081" w:type="dxa"/>
            <w:tcBorders>
              <w:top w:val="nil"/>
              <w:left w:val="nil"/>
              <w:bottom w:val="nil"/>
            </w:tcBorders>
            <w:shd w:val="clear" w:color="auto" w:fill="C6D9F1" w:themeFill="text2" w:themeFillTint="33"/>
          </w:tcPr>
          <w:p w14:paraId="64AB00B0" w14:textId="4933846F" w:rsidR="00591D9C" w:rsidRPr="00F5110B" w:rsidRDefault="00591D9C" w:rsidP="00AC3DAF">
            <w:pPr>
              <w:jc w:val="both"/>
              <w:rPr>
                <w:rFonts w:ascii="Arial" w:hAnsi="Arial" w:cs="Arial"/>
                <w:b/>
                <w:sz w:val="16"/>
                <w:szCs w:val="16"/>
                <w:lang w:val="de-DE"/>
              </w:rPr>
            </w:pPr>
            <w:r>
              <w:rPr>
                <w:rFonts w:ascii="Arial" w:hAnsi="Arial" w:cs="Arial"/>
                <w:sz w:val="16"/>
                <w:szCs w:val="16"/>
                <w:lang w:val="de-DE"/>
              </w:rPr>
              <w:t>0 EUR</w:t>
            </w:r>
          </w:p>
        </w:tc>
      </w:tr>
      <w:tr w:rsidR="00591D9C" w:rsidRPr="00490386" w14:paraId="6B8FD2B9" w14:textId="77777777" w:rsidTr="00720E1E">
        <w:trPr>
          <w:trHeight w:val="39"/>
        </w:trPr>
        <w:tc>
          <w:tcPr>
            <w:tcW w:w="3402" w:type="dxa"/>
            <w:gridSpan w:val="2"/>
            <w:tcBorders>
              <w:top w:val="nil"/>
              <w:bottom w:val="single" w:sz="4" w:space="0" w:color="auto"/>
              <w:right w:val="nil"/>
            </w:tcBorders>
            <w:shd w:val="clear" w:color="auto" w:fill="C6D9F1" w:themeFill="text2" w:themeFillTint="33"/>
          </w:tcPr>
          <w:p w14:paraId="7B4A1CFA" w14:textId="6C97F273" w:rsidR="00591D9C" w:rsidRPr="00F5110B" w:rsidRDefault="00591D9C" w:rsidP="00AC3DAF">
            <w:pPr>
              <w:jc w:val="both"/>
              <w:rPr>
                <w:rFonts w:ascii="Arial" w:hAnsi="Arial" w:cs="Arial"/>
                <w:sz w:val="16"/>
                <w:szCs w:val="16"/>
                <w:lang w:val="de-DE"/>
              </w:rPr>
            </w:pPr>
            <w:r>
              <w:rPr>
                <w:rFonts w:ascii="Arial" w:hAnsi="Arial" w:cs="Arial"/>
                <w:sz w:val="16"/>
                <w:szCs w:val="16"/>
                <w:lang w:val="de-DE"/>
              </w:rPr>
              <w:t>Jährliche Auswirkungen der Kosten*</w:t>
            </w:r>
          </w:p>
        </w:tc>
        <w:tc>
          <w:tcPr>
            <w:tcW w:w="8081" w:type="dxa"/>
            <w:tcBorders>
              <w:top w:val="nil"/>
              <w:left w:val="nil"/>
              <w:bottom w:val="single" w:sz="4" w:space="0" w:color="auto"/>
            </w:tcBorders>
            <w:shd w:val="clear" w:color="auto" w:fill="C6D9F1" w:themeFill="text2" w:themeFillTint="33"/>
          </w:tcPr>
          <w:p w14:paraId="17427504" w14:textId="665BA32E" w:rsidR="00591D9C" w:rsidRPr="00D50E21" w:rsidRDefault="00591D9C" w:rsidP="00AC3DAF">
            <w:pPr>
              <w:jc w:val="both"/>
              <w:rPr>
                <w:rFonts w:ascii="Arial" w:hAnsi="Arial" w:cs="Arial"/>
                <w:b/>
                <w:sz w:val="16"/>
                <w:szCs w:val="16"/>
                <w:highlight w:val="red"/>
                <w:lang w:val="de-DE"/>
              </w:rPr>
            </w:pPr>
            <w:r>
              <w:rPr>
                <w:rFonts w:ascii="Arial" w:hAnsi="Arial" w:cs="Arial"/>
                <w:sz w:val="16"/>
                <w:szCs w:val="16"/>
                <w:lang w:val="de-DE"/>
              </w:rPr>
              <w:t>0</w:t>
            </w:r>
            <w:r w:rsidRPr="00D232EC">
              <w:rPr>
                <w:rFonts w:ascii="Arial" w:hAnsi="Arial" w:cs="Arial"/>
                <w:sz w:val="16"/>
                <w:szCs w:val="16"/>
                <w:lang w:val="de-DE"/>
              </w:rPr>
              <w:t> %</w:t>
            </w:r>
          </w:p>
        </w:tc>
      </w:tr>
      <w:tr w:rsidR="00AC3DAF" w:rsidRPr="009D74D1" w14:paraId="4CF76191" w14:textId="77777777" w:rsidTr="00720E1E">
        <w:tc>
          <w:tcPr>
            <w:tcW w:w="11483" w:type="dxa"/>
            <w:gridSpan w:val="3"/>
            <w:tcBorders>
              <w:left w:val="nil"/>
              <w:right w:val="nil"/>
            </w:tcBorders>
            <w:shd w:val="clear" w:color="auto" w:fill="FFFFFF" w:themeFill="background1"/>
          </w:tcPr>
          <w:p w14:paraId="79B46F98" w14:textId="6C85E94C" w:rsidR="00631C7C" w:rsidRDefault="00EA58B5" w:rsidP="00631C7C">
            <w:pPr>
              <w:jc w:val="both"/>
              <w:rPr>
                <w:rFonts w:ascii="Arial" w:hAnsi="Arial" w:cs="Arial"/>
                <w:bCs/>
                <w:sz w:val="16"/>
                <w:szCs w:val="16"/>
                <w:lang w:val="de-DE"/>
              </w:rPr>
            </w:pPr>
            <w:r>
              <w:rPr>
                <w:rFonts w:ascii="Arial" w:hAnsi="Arial" w:cs="Arial"/>
                <w:bCs/>
                <w:sz w:val="16"/>
                <w:szCs w:val="16"/>
                <w:lang w:val="de-DE"/>
              </w:rPr>
              <w:t>*</w:t>
            </w:r>
            <w:r w:rsidR="00631C7C" w:rsidRPr="00631C7C">
              <w:rPr>
                <w:rFonts w:ascii="Arial" w:hAnsi="Arial" w:cs="Arial"/>
                <w:bCs/>
                <w:sz w:val="16"/>
                <w:szCs w:val="16"/>
                <w:lang w:val="de-DE"/>
              </w:rPr>
              <w:t>Diese Angaben veranschaulichen, wie die Kosten Ihre Rendite pro Jahr während der Haltedauer verringern. Wenn Sie beispielsweise zum Ende der empfohlenen Haltedauer aussteigen, wird Ihre durchschnittliche Rendite pro Jahr voraussichtlich</w:t>
            </w:r>
            <w:r w:rsidR="00631C7C">
              <w:rPr>
                <w:rFonts w:ascii="Arial" w:hAnsi="Arial" w:cs="Arial"/>
                <w:bCs/>
                <w:sz w:val="16"/>
                <w:szCs w:val="16"/>
                <w:lang w:val="de-DE"/>
              </w:rPr>
              <w:t xml:space="preserve"> </w:t>
            </w:r>
            <w:r w:rsidR="00B64DCC">
              <w:rPr>
                <w:rFonts w:ascii="Arial" w:hAnsi="Arial" w:cs="Arial"/>
                <w:bCs/>
                <w:sz w:val="16"/>
                <w:szCs w:val="16"/>
                <w:lang w:val="de-DE"/>
              </w:rPr>
              <w:t>2,00</w:t>
            </w:r>
            <w:r w:rsidR="0087345B">
              <w:rPr>
                <w:rFonts w:ascii="Arial" w:hAnsi="Arial" w:cs="Arial"/>
                <w:bCs/>
                <w:sz w:val="16"/>
                <w:szCs w:val="16"/>
                <w:lang w:val="de-DE"/>
              </w:rPr>
              <w:t> </w:t>
            </w:r>
            <w:r w:rsidR="00631C7C" w:rsidRPr="00631C7C">
              <w:rPr>
                <w:rFonts w:ascii="Arial" w:hAnsi="Arial" w:cs="Arial"/>
                <w:bCs/>
                <w:sz w:val="16"/>
                <w:szCs w:val="16"/>
                <w:lang w:val="de-DE"/>
              </w:rPr>
              <w:t xml:space="preserve">% vor Kosten und </w:t>
            </w:r>
            <w:r w:rsidR="00B64DCC">
              <w:rPr>
                <w:rFonts w:ascii="Arial" w:hAnsi="Arial" w:cs="Arial"/>
                <w:bCs/>
                <w:sz w:val="16"/>
                <w:szCs w:val="16"/>
                <w:lang w:val="de-DE"/>
              </w:rPr>
              <w:t>2,00</w:t>
            </w:r>
            <w:r w:rsidR="0087345B">
              <w:rPr>
                <w:rFonts w:ascii="Arial" w:hAnsi="Arial" w:cs="Arial"/>
                <w:bCs/>
                <w:sz w:val="16"/>
                <w:szCs w:val="16"/>
                <w:lang w:val="de-DE"/>
              </w:rPr>
              <w:t> </w:t>
            </w:r>
            <w:r w:rsidR="00631C7C" w:rsidRPr="00631C7C">
              <w:rPr>
                <w:rFonts w:ascii="Arial" w:hAnsi="Arial" w:cs="Arial"/>
                <w:bCs/>
                <w:sz w:val="16"/>
                <w:szCs w:val="16"/>
                <w:lang w:val="de-DE"/>
              </w:rPr>
              <w:t>% nach Kosten betragen.</w:t>
            </w:r>
            <w:r w:rsidR="00631C7C">
              <w:rPr>
                <w:rFonts w:ascii="Arial" w:hAnsi="Arial" w:cs="Arial"/>
                <w:bCs/>
                <w:sz w:val="16"/>
                <w:szCs w:val="16"/>
                <w:lang w:val="de-DE"/>
              </w:rPr>
              <w:t xml:space="preserve"> </w:t>
            </w:r>
            <w:r w:rsidR="00B64DCC">
              <w:rPr>
                <w:rFonts w:ascii="Arial" w:hAnsi="Arial" w:cs="Arial"/>
                <w:bCs/>
                <w:sz w:val="16"/>
                <w:szCs w:val="16"/>
                <w:lang w:val="de-DE"/>
              </w:rPr>
              <w:t>Individuelle Depotkosten der Anleger können hier nicht berücksichtigt werden.</w:t>
            </w:r>
          </w:p>
          <w:p w14:paraId="732DD25C" w14:textId="77777777" w:rsidR="003E7D38" w:rsidRPr="00631C7C" w:rsidRDefault="003E7D38" w:rsidP="00631C7C">
            <w:pPr>
              <w:jc w:val="both"/>
              <w:rPr>
                <w:rFonts w:ascii="Arial" w:hAnsi="Arial" w:cs="Arial"/>
                <w:bCs/>
                <w:sz w:val="16"/>
                <w:szCs w:val="16"/>
                <w:lang w:val="de-DE"/>
              </w:rPr>
            </w:pPr>
          </w:p>
          <w:p w14:paraId="5A2FA3BE" w14:textId="4378507C" w:rsidR="006439B7" w:rsidRDefault="00AC3DAF" w:rsidP="00AC3DAF">
            <w:pPr>
              <w:jc w:val="both"/>
              <w:rPr>
                <w:rFonts w:ascii="Arial" w:hAnsi="Arial" w:cs="Arial"/>
                <w:b/>
                <w:sz w:val="16"/>
                <w:szCs w:val="16"/>
                <w:lang w:val="de-DE"/>
              </w:rPr>
            </w:pPr>
            <w:r w:rsidRPr="00E16415">
              <w:rPr>
                <w:rFonts w:ascii="Arial" w:hAnsi="Arial" w:cs="Arial"/>
                <w:b/>
                <w:sz w:val="16"/>
                <w:szCs w:val="16"/>
                <w:lang w:val="de-DE"/>
              </w:rPr>
              <w:t>Zusammensetzung der Kosten</w:t>
            </w:r>
          </w:p>
          <w:tbl>
            <w:tblPr>
              <w:tblStyle w:val="Tabellenraster"/>
              <w:tblW w:w="11378" w:type="dxa"/>
              <w:tblLayout w:type="fixed"/>
              <w:tblLook w:val="04A0" w:firstRow="1" w:lastRow="0" w:firstColumn="1" w:lastColumn="0" w:noHBand="0" w:noVBand="1"/>
            </w:tblPr>
            <w:tblGrid>
              <w:gridCol w:w="283"/>
              <w:gridCol w:w="2978"/>
              <w:gridCol w:w="5566"/>
              <w:gridCol w:w="2551"/>
            </w:tblGrid>
            <w:tr w:rsidR="006439B7" w:rsidRPr="009D74D1" w14:paraId="2653A3B2" w14:textId="77777777" w:rsidTr="00340E5F">
              <w:trPr>
                <w:trHeight w:val="27"/>
              </w:trPr>
              <w:tc>
                <w:tcPr>
                  <w:tcW w:w="283" w:type="dxa"/>
                  <w:vMerge w:val="restart"/>
                  <w:tcBorders>
                    <w:top w:val="nil"/>
                    <w:left w:val="nil"/>
                    <w:bottom w:val="nil"/>
                    <w:right w:val="single" w:sz="2" w:space="0" w:color="auto"/>
                  </w:tcBorders>
                  <w:shd w:val="clear" w:color="auto" w:fill="FFFFFF" w:themeFill="background1"/>
                </w:tcPr>
                <w:p w14:paraId="248BBB38" w14:textId="77777777" w:rsidR="006439B7" w:rsidRPr="002D7004" w:rsidRDefault="006439B7" w:rsidP="006439B7">
                  <w:pPr>
                    <w:jc w:val="both"/>
                    <w:rPr>
                      <w:rFonts w:ascii="Arial" w:hAnsi="Arial" w:cs="Arial"/>
                      <w:b/>
                      <w:sz w:val="16"/>
                      <w:szCs w:val="16"/>
                      <w:lang w:val="de-DE"/>
                    </w:rPr>
                  </w:pPr>
                </w:p>
              </w:tc>
              <w:tc>
                <w:tcPr>
                  <w:tcW w:w="8544" w:type="dxa"/>
                  <w:gridSpan w:val="2"/>
                  <w:tcBorders>
                    <w:top w:val="single" w:sz="2" w:space="0" w:color="auto"/>
                    <w:left w:val="single" w:sz="2" w:space="0" w:color="auto"/>
                    <w:bottom w:val="single" w:sz="2" w:space="0" w:color="auto"/>
                    <w:right w:val="single" w:sz="2" w:space="0" w:color="auto"/>
                  </w:tcBorders>
                  <w:shd w:val="clear" w:color="auto" w:fill="8DB3E2" w:themeFill="text2" w:themeFillTint="66"/>
                </w:tcPr>
                <w:p w14:paraId="1F9A2505" w14:textId="77777777" w:rsidR="006439B7" w:rsidRPr="002D7004" w:rsidRDefault="006439B7" w:rsidP="006439B7">
                  <w:pPr>
                    <w:tabs>
                      <w:tab w:val="left" w:pos="2453"/>
                    </w:tabs>
                    <w:jc w:val="both"/>
                    <w:rPr>
                      <w:rFonts w:ascii="Arial" w:hAnsi="Arial" w:cs="Arial"/>
                      <w:b/>
                      <w:sz w:val="16"/>
                      <w:szCs w:val="16"/>
                      <w:lang w:val="de-DE"/>
                    </w:rPr>
                  </w:pPr>
                  <w:r w:rsidRPr="004D03B4">
                    <w:rPr>
                      <w:rFonts w:ascii="Arial" w:hAnsi="Arial" w:cs="Arial"/>
                      <w:b/>
                      <w:sz w:val="16"/>
                      <w:szCs w:val="16"/>
                      <w:lang w:val="de-DE"/>
                    </w:rPr>
                    <w:t>Einmalige Kosten bei Einstieg oder Ausstieg</w:t>
                  </w:r>
                </w:p>
              </w:tc>
              <w:tc>
                <w:tcPr>
                  <w:tcW w:w="2551" w:type="dxa"/>
                  <w:tcBorders>
                    <w:top w:val="single" w:sz="2" w:space="0" w:color="auto"/>
                    <w:left w:val="single" w:sz="2" w:space="0" w:color="auto"/>
                    <w:bottom w:val="single" w:sz="2" w:space="0" w:color="auto"/>
                    <w:right w:val="single" w:sz="2" w:space="0" w:color="auto"/>
                  </w:tcBorders>
                  <w:shd w:val="clear" w:color="auto" w:fill="8DB3E2" w:themeFill="text2" w:themeFillTint="66"/>
                </w:tcPr>
                <w:p w14:paraId="778AE3D7" w14:textId="7FE9BFAE" w:rsidR="006439B7" w:rsidRPr="002D7004" w:rsidRDefault="006661EA" w:rsidP="006439B7">
                  <w:pPr>
                    <w:jc w:val="both"/>
                    <w:rPr>
                      <w:rFonts w:ascii="Arial" w:hAnsi="Arial" w:cs="Arial"/>
                      <w:sz w:val="16"/>
                      <w:szCs w:val="16"/>
                      <w:lang w:val="de-DE"/>
                    </w:rPr>
                  </w:pPr>
                  <w:r>
                    <w:rPr>
                      <w:rFonts w:ascii="Arial" w:hAnsi="Arial" w:cs="Arial"/>
                      <w:sz w:val="16"/>
                      <w:szCs w:val="16"/>
                      <w:lang w:val="de-DE"/>
                    </w:rPr>
                    <w:t xml:space="preserve">Jährliche </w:t>
                  </w:r>
                  <w:r w:rsidR="006439B7">
                    <w:rPr>
                      <w:rFonts w:ascii="Arial" w:hAnsi="Arial" w:cs="Arial"/>
                      <w:sz w:val="16"/>
                      <w:szCs w:val="16"/>
                      <w:lang w:val="de-DE"/>
                    </w:rPr>
                    <w:t>Auswirkungen der Kosten, wenn</w:t>
                  </w:r>
                  <w:r w:rsidR="006439B7" w:rsidRPr="004D03B4">
                    <w:rPr>
                      <w:rFonts w:ascii="Arial" w:hAnsi="Arial" w:cs="Arial"/>
                      <w:sz w:val="16"/>
                      <w:szCs w:val="16"/>
                      <w:lang w:val="de-DE"/>
                    </w:rPr>
                    <w:t xml:space="preserve"> Sie nach </w:t>
                  </w:r>
                  <w:r w:rsidR="007321F9">
                    <w:rPr>
                      <w:rFonts w:ascii="Arial" w:hAnsi="Arial" w:cs="Arial"/>
                      <w:sz w:val="16"/>
                      <w:szCs w:val="16"/>
                      <w:lang w:val="de-DE"/>
                    </w:rPr>
                    <w:t>2 Jahren</w:t>
                  </w:r>
                  <w:r w:rsidR="00F44B1F" w:rsidRPr="00F44B1F">
                    <w:rPr>
                      <w:rFonts w:ascii="Arial" w:hAnsi="Arial" w:cs="Arial"/>
                      <w:sz w:val="16"/>
                      <w:szCs w:val="16"/>
                      <w:lang w:val="de-DE"/>
                    </w:rPr>
                    <w:t xml:space="preserve"> </w:t>
                  </w:r>
                  <w:r w:rsidR="006439B7" w:rsidRPr="004D03B4">
                    <w:rPr>
                      <w:rFonts w:ascii="Arial" w:hAnsi="Arial" w:cs="Arial"/>
                      <w:sz w:val="16"/>
                      <w:szCs w:val="16"/>
                      <w:lang w:val="de-DE"/>
                    </w:rPr>
                    <w:t>aussteigen</w:t>
                  </w:r>
                </w:p>
              </w:tc>
            </w:tr>
            <w:tr w:rsidR="006439B7" w:rsidRPr="002D7004" w14:paraId="0AE7966E" w14:textId="77777777" w:rsidTr="00340E5F">
              <w:trPr>
                <w:trHeight w:val="23"/>
              </w:trPr>
              <w:tc>
                <w:tcPr>
                  <w:tcW w:w="283" w:type="dxa"/>
                  <w:vMerge/>
                  <w:tcBorders>
                    <w:top w:val="nil"/>
                    <w:left w:val="nil"/>
                    <w:bottom w:val="nil"/>
                    <w:right w:val="single" w:sz="2" w:space="0" w:color="auto"/>
                  </w:tcBorders>
                  <w:shd w:val="clear" w:color="auto" w:fill="FFFFFF" w:themeFill="background1"/>
                </w:tcPr>
                <w:p w14:paraId="71BBAF6A" w14:textId="77777777" w:rsidR="006439B7" w:rsidRPr="002D7004" w:rsidRDefault="006439B7" w:rsidP="006439B7">
                  <w:pPr>
                    <w:jc w:val="both"/>
                    <w:rPr>
                      <w:rFonts w:ascii="Arial" w:hAnsi="Arial" w:cs="Arial"/>
                      <w:b/>
                      <w:sz w:val="16"/>
                      <w:szCs w:val="16"/>
                      <w:lang w:val="de-DE"/>
                    </w:rPr>
                  </w:pPr>
                </w:p>
              </w:tc>
              <w:tc>
                <w:tcPr>
                  <w:tcW w:w="2978" w:type="dxa"/>
                  <w:tcBorders>
                    <w:top w:val="single" w:sz="2" w:space="0" w:color="auto"/>
                    <w:left w:val="single" w:sz="2" w:space="0" w:color="auto"/>
                    <w:bottom w:val="single" w:sz="2" w:space="0" w:color="auto"/>
                    <w:right w:val="single" w:sz="2" w:space="0" w:color="auto"/>
                  </w:tcBorders>
                  <w:shd w:val="clear" w:color="auto" w:fill="FFFFFF" w:themeFill="background1"/>
                </w:tcPr>
                <w:p w14:paraId="484567D9" w14:textId="77777777" w:rsidR="006439B7" w:rsidRPr="002D7004" w:rsidRDefault="006439B7" w:rsidP="006439B7">
                  <w:pPr>
                    <w:jc w:val="both"/>
                    <w:rPr>
                      <w:rFonts w:ascii="Arial" w:hAnsi="Arial" w:cs="Arial"/>
                      <w:b/>
                      <w:sz w:val="16"/>
                      <w:szCs w:val="16"/>
                      <w:lang w:val="de-DE"/>
                    </w:rPr>
                  </w:pPr>
                  <w:r>
                    <w:rPr>
                      <w:rFonts w:ascii="Arial" w:hAnsi="Arial" w:cs="Arial"/>
                      <w:b/>
                      <w:sz w:val="16"/>
                      <w:szCs w:val="16"/>
                      <w:lang w:val="de-DE"/>
                    </w:rPr>
                    <w:t>Einstiegskosten</w:t>
                  </w:r>
                </w:p>
              </w:tc>
              <w:tc>
                <w:tcPr>
                  <w:tcW w:w="5566" w:type="dxa"/>
                  <w:tcBorders>
                    <w:top w:val="single" w:sz="2" w:space="0" w:color="auto"/>
                    <w:left w:val="single" w:sz="2" w:space="0" w:color="auto"/>
                    <w:bottom w:val="single" w:sz="2" w:space="0" w:color="auto"/>
                    <w:right w:val="single" w:sz="2" w:space="0" w:color="auto"/>
                  </w:tcBorders>
                  <w:shd w:val="clear" w:color="auto" w:fill="FFFFFF" w:themeFill="background1"/>
                </w:tcPr>
                <w:p w14:paraId="29ADD0DE" w14:textId="77777777" w:rsidR="006439B7" w:rsidRPr="002D7004" w:rsidRDefault="006439B7" w:rsidP="006439B7">
                  <w:pPr>
                    <w:jc w:val="both"/>
                    <w:rPr>
                      <w:rFonts w:ascii="Arial" w:hAnsi="Arial" w:cs="Arial"/>
                      <w:sz w:val="16"/>
                      <w:szCs w:val="16"/>
                      <w:lang w:val="de-DE"/>
                    </w:rPr>
                  </w:pPr>
                  <w:r w:rsidRPr="004D03B4">
                    <w:rPr>
                      <w:rFonts w:ascii="Arial" w:hAnsi="Arial" w:cs="Arial"/>
                      <w:sz w:val="16"/>
                      <w:szCs w:val="16"/>
                      <w:lang w:val="de-DE"/>
                    </w:rPr>
                    <w:t>0,0% des Betrags, den Sie beim Einstieg in diese Anlage zahlen. Diese Kosten sind</w:t>
                  </w:r>
                  <w:r>
                    <w:rPr>
                      <w:rFonts w:ascii="Arial" w:hAnsi="Arial" w:cs="Arial"/>
                      <w:sz w:val="16"/>
                      <w:szCs w:val="16"/>
                      <w:lang w:val="de-DE"/>
                    </w:rPr>
                    <w:t xml:space="preserve"> </w:t>
                  </w:r>
                  <w:r w:rsidRPr="004D03B4">
                    <w:rPr>
                      <w:rFonts w:ascii="Arial" w:hAnsi="Arial" w:cs="Arial"/>
                      <w:sz w:val="16"/>
                      <w:szCs w:val="16"/>
                      <w:lang w:val="de-DE"/>
                    </w:rPr>
                    <w:t>bereits im Preis enthalten, den Sie zahlen</w:t>
                  </w:r>
                  <w:r>
                    <w:rPr>
                      <w:rFonts w:ascii="Arial" w:hAnsi="Arial" w:cs="Arial"/>
                      <w:sz w:val="16"/>
                      <w:szCs w:val="16"/>
                      <w:lang w:val="de-DE"/>
                    </w:rPr>
                    <w:t>.</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tcPr>
                <w:p w14:paraId="0C3290BF" w14:textId="77777777" w:rsidR="006439B7" w:rsidRPr="002D7004" w:rsidRDefault="006439B7" w:rsidP="006439B7">
                  <w:pPr>
                    <w:jc w:val="both"/>
                    <w:rPr>
                      <w:rFonts w:ascii="Arial" w:hAnsi="Arial" w:cs="Arial"/>
                      <w:sz w:val="16"/>
                      <w:szCs w:val="16"/>
                      <w:lang w:val="de-DE"/>
                    </w:rPr>
                  </w:pPr>
                  <w:r>
                    <w:rPr>
                      <w:rFonts w:ascii="Arial" w:hAnsi="Arial" w:cs="Arial"/>
                      <w:sz w:val="16"/>
                      <w:szCs w:val="16"/>
                      <w:lang w:val="de-DE"/>
                    </w:rPr>
                    <w:t>EUR 0,-</w:t>
                  </w:r>
                </w:p>
              </w:tc>
            </w:tr>
            <w:tr w:rsidR="006439B7" w:rsidRPr="002D7004" w14:paraId="5C950F2C" w14:textId="77777777" w:rsidTr="00340E5F">
              <w:trPr>
                <w:trHeight w:val="23"/>
              </w:trPr>
              <w:tc>
                <w:tcPr>
                  <w:tcW w:w="283" w:type="dxa"/>
                  <w:tcBorders>
                    <w:top w:val="nil"/>
                    <w:left w:val="nil"/>
                    <w:bottom w:val="nil"/>
                    <w:right w:val="single" w:sz="2" w:space="0" w:color="auto"/>
                  </w:tcBorders>
                  <w:shd w:val="clear" w:color="auto" w:fill="FFFFFF" w:themeFill="background1"/>
                </w:tcPr>
                <w:p w14:paraId="71829F6C" w14:textId="77777777" w:rsidR="006439B7" w:rsidRPr="002D7004" w:rsidRDefault="006439B7" w:rsidP="006439B7">
                  <w:pPr>
                    <w:jc w:val="both"/>
                    <w:rPr>
                      <w:rFonts w:ascii="Arial" w:hAnsi="Arial" w:cs="Arial"/>
                      <w:b/>
                      <w:sz w:val="16"/>
                      <w:szCs w:val="16"/>
                      <w:lang w:val="de-DE"/>
                    </w:rPr>
                  </w:pPr>
                </w:p>
              </w:tc>
              <w:tc>
                <w:tcPr>
                  <w:tcW w:w="2978" w:type="dxa"/>
                  <w:tcBorders>
                    <w:top w:val="single" w:sz="2" w:space="0" w:color="auto"/>
                    <w:left w:val="single" w:sz="2" w:space="0" w:color="auto"/>
                    <w:bottom w:val="single" w:sz="2" w:space="0" w:color="auto"/>
                    <w:right w:val="single" w:sz="2" w:space="0" w:color="auto"/>
                  </w:tcBorders>
                  <w:shd w:val="clear" w:color="auto" w:fill="FFFFFF" w:themeFill="background1"/>
                </w:tcPr>
                <w:p w14:paraId="3B2AEB8B" w14:textId="77777777" w:rsidR="006439B7" w:rsidRPr="002D7004" w:rsidRDefault="006439B7" w:rsidP="006439B7">
                  <w:pPr>
                    <w:jc w:val="both"/>
                    <w:rPr>
                      <w:rFonts w:ascii="Arial" w:hAnsi="Arial" w:cs="Arial"/>
                      <w:b/>
                      <w:sz w:val="16"/>
                      <w:szCs w:val="16"/>
                      <w:lang w:val="de-DE"/>
                    </w:rPr>
                  </w:pPr>
                  <w:r>
                    <w:rPr>
                      <w:rFonts w:ascii="Arial" w:hAnsi="Arial" w:cs="Arial"/>
                      <w:b/>
                      <w:sz w:val="16"/>
                      <w:szCs w:val="16"/>
                      <w:lang w:val="de-DE"/>
                    </w:rPr>
                    <w:t>Ausstiegskosten</w:t>
                  </w:r>
                </w:p>
              </w:tc>
              <w:tc>
                <w:tcPr>
                  <w:tcW w:w="5566" w:type="dxa"/>
                  <w:tcBorders>
                    <w:top w:val="single" w:sz="2" w:space="0" w:color="auto"/>
                    <w:left w:val="single" w:sz="2" w:space="0" w:color="auto"/>
                    <w:bottom w:val="single" w:sz="2" w:space="0" w:color="auto"/>
                    <w:right w:val="single" w:sz="2" w:space="0" w:color="auto"/>
                  </w:tcBorders>
                  <w:shd w:val="clear" w:color="auto" w:fill="FFFFFF" w:themeFill="background1"/>
                </w:tcPr>
                <w:p w14:paraId="789B1054" w14:textId="77777777" w:rsidR="006439B7" w:rsidRPr="002D7004" w:rsidRDefault="006439B7" w:rsidP="006439B7">
                  <w:pPr>
                    <w:jc w:val="both"/>
                    <w:rPr>
                      <w:rFonts w:ascii="Arial" w:hAnsi="Arial" w:cs="Arial"/>
                      <w:sz w:val="16"/>
                      <w:szCs w:val="16"/>
                      <w:lang w:val="de-DE"/>
                    </w:rPr>
                  </w:pPr>
                  <w:r>
                    <w:rPr>
                      <w:rFonts w:ascii="Arial" w:hAnsi="Arial" w:cs="Arial"/>
                      <w:sz w:val="16"/>
                      <w:szCs w:val="16"/>
                      <w:lang w:val="de-DE"/>
                    </w:rPr>
                    <w:t xml:space="preserve">0,0% ihrer Anlage, bevor sie an Sie ausgezahlt wird. Wir berechnen keine Ausstiegskosten für dieses Produkt. </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tcPr>
                <w:p w14:paraId="6FCE68BD" w14:textId="77777777" w:rsidR="006439B7" w:rsidRPr="002D7004" w:rsidRDefault="006439B7" w:rsidP="006439B7">
                  <w:pPr>
                    <w:jc w:val="both"/>
                    <w:rPr>
                      <w:rFonts w:ascii="Arial" w:hAnsi="Arial" w:cs="Arial"/>
                      <w:sz w:val="16"/>
                      <w:szCs w:val="16"/>
                      <w:lang w:val="de-DE"/>
                    </w:rPr>
                  </w:pPr>
                  <w:r>
                    <w:rPr>
                      <w:rFonts w:ascii="Arial" w:hAnsi="Arial" w:cs="Arial"/>
                      <w:sz w:val="16"/>
                      <w:szCs w:val="16"/>
                      <w:lang w:val="de-DE"/>
                    </w:rPr>
                    <w:t>EUR 0,-</w:t>
                  </w:r>
                </w:p>
              </w:tc>
            </w:tr>
            <w:tr w:rsidR="006439B7" w14:paraId="0DFFF42E" w14:textId="77777777" w:rsidTr="00340E5F">
              <w:trPr>
                <w:trHeight w:val="23"/>
              </w:trPr>
              <w:tc>
                <w:tcPr>
                  <w:tcW w:w="283" w:type="dxa"/>
                  <w:tcBorders>
                    <w:top w:val="nil"/>
                    <w:left w:val="nil"/>
                    <w:bottom w:val="nil"/>
                    <w:right w:val="single" w:sz="2" w:space="0" w:color="auto"/>
                  </w:tcBorders>
                  <w:shd w:val="clear" w:color="auto" w:fill="FFFFFF" w:themeFill="background1"/>
                </w:tcPr>
                <w:p w14:paraId="5D73F635" w14:textId="77777777" w:rsidR="006439B7" w:rsidRPr="002D7004" w:rsidRDefault="006439B7" w:rsidP="006439B7">
                  <w:pPr>
                    <w:jc w:val="both"/>
                    <w:rPr>
                      <w:rFonts w:ascii="Arial" w:hAnsi="Arial" w:cs="Arial"/>
                      <w:b/>
                      <w:sz w:val="16"/>
                      <w:szCs w:val="16"/>
                      <w:lang w:val="de-DE"/>
                    </w:rPr>
                  </w:pPr>
                </w:p>
              </w:tc>
              <w:tc>
                <w:tcPr>
                  <w:tcW w:w="11095" w:type="dxa"/>
                  <w:gridSpan w:val="3"/>
                  <w:tcBorders>
                    <w:top w:val="single" w:sz="2" w:space="0" w:color="auto"/>
                    <w:left w:val="single" w:sz="2" w:space="0" w:color="auto"/>
                    <w:bottom w:val="single" w:sz="2" w:space="0" w:color="auto"/>
                    <w:right w:val="single" w:sz="2" w:space="0" w:color="auto"/>
                  </w:tcBorders>
                  <w:shd w:val="clear" w:color="auto" w:fill="8DB3E2" w:themeFill="text2" w:themeFillTint="66"/>
                </w:tcPr>
                <w:p w14:paraId="44B92652" w14:textId="77777777" w:rsidR="006439B7" w:rsidRDefault="006439B7" w:rsidP="006439B7">
                  <w:pPr>
                    <w:jc w:val="both"/>
                    <w:rPr>
                      <w:rFonts w:ascii="Arial" w:hAnsi="Arial" w:cs="Arial"/>
                      <w:sz w:val="16"/>
                      <w:szCs w:val="16"/>
                      <w:lang w:val="de-DE"/>
                    </w:rPr>
                  </w:pPr>
                  <w:r>
                    <w:rPr>
                      <w:rFonts w:ascii="Arial" w:hAnsi="Arial" w:cs="Arial"/>
                      <w:b/>
                      <w:sz w:val="16"/>
                      <w:szCs w:val="16"/>
                      <w:lang w:val="de-DE"/>
                    </w:rPr>
                    <w:t xml:space="preserve">Laufende Kosten </w:t>
                  </w:r>
                </w:p>
              </w:tc>
            </w:tr>
            <w:tr w:rsidR="006439B7" w14:paraId="02C3C5E1" w14:textId="77777777" w:rsidTr="00340E5F">
              <w:trPr>
                <w:trHeight w:val="23"/>
              </w:trPr>
              <w:tc>
                <w:tcPr>
                  <w:tcW w:w="283" w:type="dxa"/>
                  <w:tcBorders>
                    <w:top w:val="nil"/>
                    <w:left w:val="nil"/>
                    <w:bottom w:val="nil"/>
                    <w:right w:val="single" w:sz="2" w:space="0" w:color="auto"/>
                  </w:tcBorders>
                  <w:shd w:val="clear" w:color="auto" w:fill="FFFFFF" w:themeFill="background1"/>
                </w:tcPr>
                <w:p w14:paraId="2F473AC4" w14:textId="77777777" w:rsidR="006439B7" w:rsidRPr="002D7004" w:rsidRDefault="006439B7" w:rsidP="006439B7">
                  <w:pPr>
                    <w:jc w:val="both"/>
                    <w:rPr>
                      <w:rFonts w:ascii="Arial" w:hAnsi="Arial" w:cs="Arial"/>
                      <w:b/>
                      <w:sz w:val="16"/>
                      <w:szCs w:val="16"/>
                      <w:lang w:val="de-DE"/>
                    </w:rPr>
                  </w:pPr>
                </w:p>
              </w:tc>
              <w:tc>
                <w:tcPr>
                  <w:tcW w:w="2978" w:type="dxa"/>
                  <w:tcBorders>
                    <w:top w:val="single" w:sz="2" w:space="0" w:color="auto"/>
                    <w:left w:val="single" w:sz="2" w:space="0" w:color="auto"/>
                    <w:bottom w:val="single" w:sz="2" w:space="0" w:color="auto"/>
                    <w:right w:val="single" w:sz="2" w:space="0" w:color="auto"/>
                  </w:tcBorders>
                  <w:shd w:val="clear" w:color="auto" w:fill="FFFFFF" w:themeFill="background1"/>
                </w:tcPr>
                <w:p w14:paraId="5AA63191" w14:textId="77777777" w:rsidR="006439B7" w:rsidRDefault="006439B7" w:rsidP="006439B7">
                  <w:pPr>
                    <w:jc w:val="both"/>
                    <w:rPr>
                      <w:rFonts w:ascii="Arial" w:hAnsi="Arial" w:cs="Arial"/>
                      <w:b/>
                      <w:sz w:val="16"/>
                      <w:szCs w:val="16"/>
                      <w:lang w:val="de-DE"/>
                    </w:rPr>
                  </w:pPr>
                  <w:r w:rsidRPr="00776FBC">
                    <w:rPr>
                      <w:rFonts w:ascii="Arial" w:hAnsi="Arial" w:cs="Arial"/>
                      <w:b/>
                      <w:sz w:val="16"/>
                      <w:szCs w:val="16"/>
                      <w:lang w:val="de-DE"/>
                    </w:rPr>
                    <w:t>Verwaltungsgebühren</w:t>
                  </w:r>
                  <w:r>
                    <w:rPr>
                      <w:rFonts w:ascii="Arial" w:hAnsi="Arial" w:cs="Arial"/>
                      <w:b/>
                      <w:sz w:val="16"/>
                      <w:szCs w:val="16"/>
                      <w:lang w:val="de-DE"/>
                    </w:rPr>
                    <w:t xml:space="preserve"> </w:t>
                  </w:r>
                  <w:r w:rsidRPr="00776FBC">
                    <w:rPr>
                      <w:rFonts w:ascii="Arial" w:hAnsi="Arial" w:cs="Arial"/>
                      <w:b/>
                      <w:sz w:val="16"/>
                      <w:szCs w:val="16"/>
                      <w:lang w:val="de-DE"/>
                    </w:rPr>
                    <w:t>und sonstige Verwaltungs-</w:t>
                  </w:r>
                  <w:r>
                    <w:rPr>
                      <w:rFonts w:ascii="Arial" w:hAnsi="Arial" w:cs="Arial"/>
                      <w:b/>
                      <w:sz w:val="16"/>
                      <w:szCs w:val="16"/>
                      <w:lang w:val="de-DE"/>
                    </w:rPr>
                    <w:t xml:space="preserve"> </w:t>
                  </w:r>
                  <w:r w:rsidRPr="00776FBC">
                    <w:rPr>
                      <w:rFonts w:ascii="Arial" w:hAnsi="Arial" w:cs="Arial"/>
                      <w:b/>
                      <w:sz w:val="16"/>
                      <w:szCs w:val="16"/>
                      <w:lang w:val="de-DE"/>
                    </w:rPr>
                    <w:t>oder Betriebskosten</w:t>
                  </w:r>
                </w:p>
              </w:tc>
              <w:tc>
                <w:tcPr>
                  <w:tcW w:w="5566" w:type="dxa"/>
                  <w:tcBorders>
                    <w:top w:val="single" w:sz="2" w:space="0" w:color="auto"/>
                    <w:left w:val="single" w:sz="2" w:space="0" w:color="auto"/>
                    <w:bottom w:val="single" w:sz="2" w:space="0" w:color="auto"/>
                    <w:right w:val="single" w:sz="2" w:space="0" w:color="auto"/>
                  </w:tcBorders>
                  <w:shd w:val="clear" w:color="auto" w:fill="FFFFFF" w:themeFill="background1"/>
                </w:tcPr>
                <w:p w14:paraId="34C862A4" w14:textId="77777777" w:rsidR="006439B7" w:rsidRDefault="006439B7" w:rsidP="006439B7">
                  <w:pPr>
                    <w:jc w:val="both"/>
                    <w:rPr>
                      <w:rFonts w:ascii="Arial" w:hAnsi="Arial" w:cs="Arial"/>
                      <w:sz w:val="16"/>
                      <w:szCs w:val="16"/>
                      <w:lang w:val="de-DE"/>
                    </w:rPr>
                  </w:pPr>
                  <w:r>
                    <w:rPr>
                      <w:rFonts w:ascii="Arial" w:hAnsi="Arial" w:cs="Arial"/>
                      <w:sz w:val="16"/>
                      <w:szCs w:val="16"/>
                      <w:lang w:val="de-DE"/>
                    </w:rPr>
                    <w:t xml:space="preserve">0,0 % des Werts Ihrer Anlage pro Jahr. Wir berechnen keine </w:t>
                  </w:r>
                  <w:r w:rsidRPr="00F9137D">
                    <w:rPr>
                      <w:rFonts w:ascii="Arial" w:hAnsi="Arial" w:cs="Arial"/>
                      <w:sz w:val="16"/>
                      <w:szCs w:val="16"/>
                      <w:lang w:val="de-DE"/>
                    </w:rPr>
                    <w:t>Verwaltungsgebühren und sonstige Verwaltungs- oder Betriebskosten</w:t>
                  </w:r>
                  <w:r>
                    <w:rPr>
                      <w:rFonts w:ascii="Arial" w:hAnsi="Arial" w:cs="Arial"/>
                      <w:sz w:val="16"/>
                      <w:szCs w:val="16"/>
                      <w:lang w:val="de-DE"/>
                    </w:rPr>
                    <w:t xml:space="preserve"> für dieses Produkt.</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tcPr>
                <w:p w14:paraId="067CF4B0" w14:textId="77777777" w:rsidR="006439B7" w:rsidRDefault="006439B7" w:rsidP="006439B7">
                  <w:pPr>
                    <w:jc w:val="both"/>
                    <w:rPr>
                      <w:rFonts w:ascii="Arial" w:hAnsi="Arial" w:cs="Arial"/>
                      <w:sz w:val="16"/>
                      <w:szCs w:val="16"/>
                      <w:lang w:val="de-DE"/>
                    </w:rPr>
                  </w:pPr>
                  <w:r>
                    <w:rPr>
                      <w:rFonts w:ascii="Arial" w:hAnsi="Arial" w:cs="Arial"/>
                      <w:sz w:val="16"/>
                      <w:szCs w:val="16"/>
                      <w:lang w:val="de-DE"/>
                    </w:rPr>
                    <w:t>EUR 0,-</w:t>
                  </w:r>
                </w:p>
              </w:tc>
            </w:tr>
            <w:tr w:rsidR="006439B7" w14:paraId="0ED40798" w14:textId="77777777" w:rsidTr="00340E5F">
              <w:trPr>
                <w:trHeight w:val="23"/>
              </w:trPr>
              <w:tc>
                <w:tcPr>
                  <w:tcW w:w="283" w:type="dxa"/>
                  <w:tcBorders>
                    <w:top w:val="nil"/>
                    <w:left w:val="nil"/>
                    <w:bottom w:val="nil"/>
                    <w:right w:val="single" w:sz="2" w:space="0" w:color="auto"/>
                  </w:tcBorders>
                  <w:shd w:val="clear" w:color="auto" w:fill="FFFFFF" w:themeFill="background1"/>
                </w:tcPr>
                <w:p w14:paraId="2B8AF639" w14:textId="77777777" w:rsidR="006439B7" w:rsidRPr="002D7004" w:rsidRDefault="006439B7" w:rsidP="006439B7">
                  <w:pPr>
                    <w:jc w:val="both"/>
                    <w:rPr>
                      <w:rFonts w:ascii="Arial" w:hAnsi="Arial" w:cs="Arial"/>
                      <w:b/>
                      <w:sz w:val="16"/>
                      <w:szCs w:val="16"/>
                      <w:lang w:val="de-DE"/>
                    </w:rPr>
                  </w:pPr>
                </w:p>
              </w:tc>
              <w:tc>
                <w:tcPr>
                  <w:tcW w:w="2978" w:type="dxa"/>
                  <w:tcBorders>
                    <w:top w:val="single" w:sz="2" w:space="0" w:color="auto"/>
                    <w:left w:val="single" w:sz="2" w:space="0" w:color="auto"/>
                    <w:bottom w:val="single" w:sz="2" w:space="0" w:color="auto"/>
                    <w:right w:val="single" w:sz="2" w:space="0" w:color="auto"/>
                  </w:tcBorders>
                  <w:shd w:val="clear" w:color="auto" w:fill="FFFFFF" w:themeFill="background1"/>
                </w:tcPr>
                <w:p w14:paraId="0D14A601" w14:textId="77777777" w:rsidR="006439B7" w:rsidRDefault="006439B7" w:rsidP="006439B7">
                  <w:pPr>
                    <w:jc w:val="both"/>
                    <w:rPr>
                      <w:rFonts w:ascii="Arial" w:hAnsi="Arial" w:cs="Arial"/>
                      <w:b/>
                      <w:sz w:val="16"/>
                      <w:szCs w:val="16"/>
                      <w:lang w:val="de-DE"/>
                    </w:rPr>
                  </w:pPr>
                  <w:r>
                    <w:rPr>
                      <w:rFonts w:ascii="Arial" w:hAnsi="Arial" w:cs="Arial"/>
                      <w:b/>
                      <w:sz w:val="16"/>
                      <w:szCs w:val="16"/>
                      <w:lang w:val="de-DE"/>
                    </w:rPr>
                    <w:t>Transaktionskosten</w:t>
                  </w:r>
                </w:p>
              </w:tc>
              <w:tc>
                <w:tcPr>
                  <w:tcW w:w="5566" w:type="dxa"/>
                  <w:tcBorders>
                    <w:top w:val="single" w:sz="2" w:space="0" w:color="auto"/>
                    <w:left w:val="single" w:sz="2" w:space="0" w:color="auto"/>
                    <w:bottom w:val="single" w:sz="2" w:space="0" w:color="auto"/>
                    <w:right w:val="single" w:sz="2" w:space="0" w:color="auto"/>
                  </w:tcBorders>
                  <w:shd w:val="clear" w:color="auto" w:fill="FFFFFF" w:themeFill="background1"/>
                </w:tcPr>
                <w:p w14:paraId="6C312ECE" w14:textId="77777777" w:rsidR="006439B7" w:rsidRDefault="006439B7" w:rsidP="006439B7">
                  <w:pPr>
                    <w:jc w:val="both"/>
                    <w:rPr>
                      <w:rFonts w:ascii="Arial" w:hAnsi="Arial" w:cs="Arial"/>
                      <w:sz w:val="16"/>
                      <w:szCs w:val="16"/>
                      <w:lang w:val="de-DE"/>
                    </w:rPr>
                  </w:pPr>
                  <w:r>
                    <w:rPr>
                      <w:rFonts w:ascii="Arial" w:hAnsi="Arial" w:cs="Arial"/>
                      <w:sz w:val="16"/>
                      <w:szCs w:val="16"/>
                      <w:lang w:val="de-DE"/>
                    </w:rPr>
                    <w:t>0,0 % des Werts Ihrer Anlage pro Jahr. Wir berechnen keine Transaktionskosten für dieses Produkt.</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tcPr>
                <w:p w14:paraId="35DD88C0" w14:textId="77777777" w:rsidR="006439B7" w:rsidRDefault="006439B7" w:rsidP="006439B7">
                  <w:pPr>
                    <w:jc w:val="both"/>
                    <w:rPr>
                      <w:rFonts w:ascii="Arial" w:hAnsi="Arial" w:cs="Arial"/>
                      <w:sz w:val="16"/>
                      <w:szCs w:val="16"/>
                      <w:lang w:val="de-DE"/>
                    </w:rPr>
                  </w:pPr>
                  <w:r>
                    <w:rPr>
                      <w:rFonts w:ascii="Arial" w:hAnsi="Arial" w:cs="Arial"/>
                      <w:sz w:val="16"/>
                      <w:szCs w:val="16"/>
                      <w:lang w:val="de-DE"/>
                    </w:rPr>
                    <w:t>EUR 0,-</w:t>
                  </w:r>
                </w:p>
              </w:tc>
            </w:tr>
            <w:tr w:rsidR="006439B7" w:rsidRPr="009D74D1" w14:paraId="70DF21D8" w14:textId="77777777" w:rsidTr="00340E5F">
              <w:trPr>
                <w:trHeight w:val="23"/>
              </w:trPr>
              <w:tc>
                <w:tcPr>
                  <w:tcW w:w="283" w:type="dxa"/>
                  <w:tcBorders>
                    <w:top w:val="nil"/>
                    <w:left w:val="nil"/>
                    <w:bottom w:val="nil"/>
                    <w:right w:val="single" w:sz="2" w:space="0" w:color="auto"/>
                  </w:tcBorders>
                  <w:shd w:val="clear" w:color="auto" w:fill="FFFFFF" w:themeFill="background1"/>
                </w:tcPr>
                <w:p w14:paraId="7733FD86" w14:textId="77777777" w:rsidR="006439B7" w:rsidRPr="002D7004" w:rsidRDefault="006439B7" w:rsidP="006439B7">
                  <w:pPr>
                    <w:jc w:val="both"/>
                    <w:rPr>
                      <w:rFonts w:ascii="Arial" w:hAnsi="Arial" w:cs="Arial"/>
                      <w:b/>
                      <w:sz w:val="16"/>
                      <w:szCs w:val="16"/>
                      <w:lang w:val="de-DE"/>
                    </w:rPr>
                  </w:pPr>
                </w:p>
              </w:tc>
              <w:tc>
                <w:tcPr>
                  <w:tcW w:w="8544" w:type="dxa"/>
                  <w:gridSpan w:val="2"/>
                  <w:tcBorders>
                    <w:top w:val="single" w:sz="2" w:space="0" w:color="auto"/>
                    <w:left w:val="single" w:sz="2" w:space="0" w:color="auto"/>
                    <w:bottom w:val="single" w:sz="2" w:space="0" w:color="auto"/>
                    <w:right w:val="single" w:sz="2" w:space="0" w:color="auto"/>
                  </w:tcBorders>
                  <w:shd w:val="clear" w:color="auto" w:fill="8DB3E2" w:themeFill="text2" w:themeFillTint="66"/>
                </w:tcPr>
                <w:p w14:paraId="2091FD6F" w14:textId="77777777" w:rsidR="006439B7" w:rsidRDefault="006439B7" w:rsidP="006439B7">
                  <w:pPr>
                    <w:jc w:val="both"/>
                    <w:rPr>
                      <w:rFonts w:ascii="Arial" w:hAnsi="Arial" w:cs="Arial"/>
                      <w:sz w:val="16"/>
                      <w:szCs w:val="16"/>
                      <w:lang w:val="de-DE"/>
                    </w:rPr>
                  </w:pPr>
                  <w:r>
                    <w:rPr>
                      <w:rFonts w:ascii="Arial" w:hAnsi="Arial" w:cs="Arial"/>
                      <w:b/>
                      <w:sz w:val="16"/>
                      <w:szCs w:val="16"/>
                      <w:lang w:val="de-DE"/>
                    </w:rPr>
                    <w:t>Zusätzliche Kosten unter bestimmten Bedingungen</w:t>
                  </w:r>
                </w:p>
              </w:tc>
              <w:tc>
                <w:tcPr>
                  <w:tcW w:w="2551" w:type="dxa"/>
                  <w:tcBorders>
                    <w:top w:val="single" w:sz="2" w:space="0" w:color="auto"/>
                    <w:left w:val="single" w:sz="2" w:space="0" w:color="auto"/>
                    <w:bottom w:val="single" w:sz="2" w:space="0" w:color="auto"/>
                    <w:right w:val="single" w:sz="2" w:space="0" w:color="auto"/>
                  </w:tcBorders>
                  <w:shd w:val="clear" w:color="auto" w:fill="8DB3E2" w:themeFill="text2" w:themeFillTint="66"/>
                </w:tcPr>
                <w:p w14:paraId="1BB459A0" w14:textId="77777777" w:rsidR="006439B7" w:rsidRDefault="006439B7" w:rsidP="006439B7">
                  <w:pPr>
                    <w:jc w:val="both"/>
                    <w:rPr>
                      <w:rFonts w:ascii="Arial" w:hAnsi="Arial" w:cs="Arial"/>
                      <w:sz w:val="16"/>
                      <w:szCs w:val="16"/>
                      <w:lang w:val="de-DE"/>
                    </w:rPr>
                  </w:pPr>
                </w:p>
              </w:tc>
            </w:tr>
            <w:tr w:rsidR="006439B7" w14:paraId="7245C1C3" w14:textId="77777777" w:rsidTr="00340E5F">
              <w:trPr>
                <w:trHeight w:val="23"/>
              </w:trPr>
              <w:tc>
                <w:tcPr>
                  <w:tcW w:w="283" w:type="dxa"/>
                  <w:tcBorders>
                    <w:top w:val="nil"/>
                    <w:left w:val="nil"/>
                    <w:bottom w:val="nil"/>
                    <w:right w:val="single" w:sz="2" w:space="0" w:color="auto"/>
                  </w:tcBorders>
                  <w:shd w:val="clear" w:color="auto" w:fill="FFFFFF" w:themeFill="background1"/>
                </w:tcPr>
                <w:p w14:paraId="3B2249B0" w14:textId="77777777" w:rsidR="006439B7" w:rsidRPr="002D7004" w:rsidRDefault="006439B7" w:rsidP="006439B7">
                  <w:pPr>
                    <w:jc w:val="both"/>
                    <w:rPr>
                      <w:rFonts w:ascii="Arial" w:hAnsi="Arial" w:cs="Arial"/>
                      <w:b/>
                      <w:sz w:val="16"/>
                      <w:szCs w:val="16"/>
                      <w:lang w:val="de-DE"/>
                    </w:rPr>
                  </w:pPr>
                </w:p>
              </w:tc>
              <w:tc>
                <w:tcPr>
                  <w:tcW w:w="2978" w:type="dxa"/>
                  <w:tcBorders>
                    <w:top w:val="single" w:sz="2" w:space="0" w:color="auto"/>
                    <w:left w:val="single" w:sz="2" w:space="0" w:color="auto"/>
                    <w:bottom w:val="single" w:sz="2" w:space="0" w:color="auto"/>
                    <w:right w:val="single" w:sz="2" w:space="0" w:color="auto"/>
                  </w:tcBorders>
                  <w:shd w:val="clear" w:color="auto" w:fill="FFFFFF" w:themeFill="background1"/>
                </w:tcPr>
                <w:p w14:paraId="2D71C645" w14:textId="77777777" w:rsidR="006439B7" w:rsidRDefault="006439B7" w:rsidP="006439B7">
                  <w:pPr>
                    <w:jc w:val="both"/>
                    <w:rPr>
                      <w:rFonts w:ascii="Arial" w:hAnsi="Arial" w:cs="Arial"/>
                      <w:b/>
                      <w:sz w:val="16"/>
                      <w:szCs w:val="16"/>
                      <w:lang w:val="de-DE"/>
                    </w:rPr>
                  </w:pPr>
                  <w:r>
                    <w:rPr>
                      <w:rFonts w:ascii="Arial" w:hAnsi="Arial" w:cs="Arial"/>
                      <w:b/>
                      <w:sz w:val="16"/>
                      <w:szCs w:val="16"/>
                      <w:lang w:val="de-DE"/>
                    </w:rPr>
                    <w:t>Erfolgsgebühren</w:t>
                  </w:r>
                </w:p>
              </w:tc>
              <w:tc>
                <w:tcPr>
                  <w:tcW w:w="5566" w:type="dxa"/>
                  <w:tcBorders>
                    <w:top w:val="single" w:sz="2" w:space="0" w:color="auto"/>
                    <w:left w:val="single" w:sz="2" w:space="0" w:color="auto"/>
                    <w:bottom w:val="single" w:sz="2" w:space="0" w:color="auto"/>
                    <w:right w:val="single" w:sz="2" w:space="0" w:color="auto"/>
                  </w:tcBorders>
                  <w:shd w:val="clear" w:color="auto" w:fill="FFFFFF" w:themeFill="background1"/>
                </w:tcPr>
                <w:p w14:paraId="00D01D09" w14:textId="77777777" w:rsidR="006439B7" w:rsidRDefault="006439B7" w:rsidP="006439B7">
                  <w:pPr>
                    <w:jc w:val="both"/>
                    <w:rPr>
                      <w:rFonts w:ascii="Arial" w:hAnsi="Arial" w:cs="Arial"/>
                      <w:sz w:val="16"/>
                      <w:szCs w:val="16"/>
                      <w:lang w:val="de-DE"/>
                    </w:rPr>
                  </w:pPr>
                  <w:r>
                    <w:rPr>
                      <w:rFonts w:ascii="Arial" w:hAnsi="Arial" w:cs="Arial"/>
                      <w:sz w:val="16"/>
                      <w:szCs w:val="16"/>
                      <w:lang w:val="de-DE"/>
                    </w:rPr>
                    <w:t>0,0 % des Werts Ihrer Anlage pro Jahr. Wir berechnen keine Erfolgsgebühren für dieses Produkt.</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tcPr>
                <w:p w14:paraId="4AF69F30" w14:textId="77777777" w:rsidR="006439B7" w:rsidRDefault="006439B7" w:rsidP="006439B7">
                  <w:pPr>
                    <w:jc w:val="both"/>
                    <w:rPr>
                      <w:rFonts w:ascii="Arial" w:hAnsi="Arial" w:cs="Arial"/>
                      <w:sz w:val="16"/>
                      <w:szCs w:val="16"/>
                      <w:lang w:val="de-DE"/>
                    </w:rPr>
                  </w:pPr>
                  <w:r>
                    <w:rPr>
                      <w:rFonts w:ascii="Arial" w:hAnsi="Arial" w:cs="Arial"/>
                      <w:sz w:val="16"/>
                      <w:szCs w:val="16"/>
                      <w:lang w:val="de-DE"/>
                    </w:rPr>
                    <w:t>EUR 0,-</w:t>
                  </w:r>
                </w:p>
              </w:tc>
            </w:tr>
            <w:tr w:rsidR="006439B7" w:rsidRPr="009D74D1" w14:paraId="3483B279" w14:textId="77777777" w:rsidTr="00340E5F">
              <w:trPr>
                <w:trHeight w:val="23"/>
              </w:trPr>
              <w:tc>
                <w:tcPr>
                  <w:tcW w:w="283" w:type="dxa"/>
                  <w:tcBorders>
                    <w:top w:val="nil"/>
                    <w:left w:val="nil"/>
                    <w:bottom w:val="nil"/>
                    <w:right w:val="nil"/>
                  </w:tcBorders>
                  <w:shd w:val="clear" w:color="auto" w:fill="FFFFFF" w:themeFill="background1"/>
                </w:tcPr>
                <w:p w14:paraId="79274C86" w14:textId="77777777" w:rsidR="006439B7" w:rsidRPr="002D7004" w:rsidRDefault="006439B7" w:rsidP="006439B7">
                  <w:pPr>
                    <w:jc w:val="both"/>
                    <w:rPr>
                      <w:rFonts w:ascii="Arial" w:hAnsi="Arial" w:cs="Arial"/>
                      <w:b/>
                      <w:sz w:val="16"/>
                      <w:szCs w:val="16"/>
                      <w:lang w:val="de-DE"/>
                    </w:rPr>
                  </w:pPr>
                </w:p>
              </w:tc>
              <w:tc>
                <w:tcPr>
                  <w:tcW w:w="11095" w:type="dxa"/>
                  <w:gridSpan w:val="3"/>
                  <w:tcBorders>
                    <w:top w:val="single" w:sz="2" w:space="0" w:color="auto"/>
                    <w:left w:val="nil"/>
                    <w:bottom w:val="nil"/>
                    <w:right w:val="nil"/>
                  </w:tcBorders>
                  <w:shd w:val="clear" w:color="auto" w:fill="FFFFFF" w:themeFill="background1"/>
                </w:tcPr>
                <w:p w14:paraId="73AFA617" w14:textId="77777777" w:rsidR="006439B7" w:rsidRDefault="006439B7" w:rsidP="006439B7">
                  <w:pPr>
                    <w:jc w:val="both"/>
                    <w:rPr>
                      <w:rFonts w:ascii="Arial" w:hAnsi="Arial" w:cs="Arial"/>
                      <w:sz w:val="16"/>
                      <w:szCs w:val="16"/>
                      <w:lang w:val="de-DE"/>
                    </w:rPr>
                  </w:pPr>
                  <w:r w:rsidRPr="00F9137D">
                    <w:rPr>
                      <w:rFonts w:ascii="Arial" w:hAnsi="Arial" w:cs="Arial"/>
                      <w:sz w:val="16"/>
                      <w:szCs w:val="16"/>
                      <w:lang w:val="de-DE"/>
                    </w:rPr>
                    <w:t>Diese Angaben veranschaulichen die Kosten im Verhältnis zum Nominalwert des PRIIP</w:t>
                  </w:r>
                  <w:r>
                    <w:rPr>
                      <w:rFonts w:ascii="Arial" w:hAnsi="Arial" w:cs="Arial"/>
                      <w:sz w:val="16"/>
                      <w:szCs w:val="16"/>
                      <w:lang w:val="de-DE"/>
                    </w:rPr>
                    <w:t>.</w:t>
                  </w:r>
                </w:p>
              </w:tc>
            </w:tr>
          </w:tbl>
          <w:p w14:paraId="158C9330" w14:textId="646FE3C6" w:rsidR="00AC3DAF" w:rsidRPr="002D7004" w:rsidRDefault="00AC3DAF" w:rsidP="00AC3DAF">
            <w:pPr>
              <w:jc w:val="both"/>
              <w:rPr>
                <w:rFonts w:ascii="Arial" w:hAnsi="Arial" w:cs="Arial"/>
                <w:sz w:val="16"/>
                <w:szCs w:val="16"/>
                <w:lang w:val="de-DE"/>
              </w:rPr>
            </w:pPr>
          </w:p>
        </w:tc>
      </w:tr>
      <w:tr w:rsidR="00AC3DAF" w:rsidRPr="009D74D1" w14:paraId="3B5BCA18" w14:textId="77777777" w:rsidTr="00720E1E">
        <w:tc>
          <w:tcPr>
            <w:tcW w:w="11483" w:type="dxa"/>
            <w:gridSpan w:val="3"/>
            <w:tcBorders>
              <w:left w:val="nil"/>
              <w:bottom w:val="single" w:sz="4" w:space="0" w:color="auto"/>
              <w:right w:val="nil"/>
            </w:tcBorders>
            <w:shd w:val="clear" w:color="auto" w:fill="FFFFFF" w:themeFill="background1"/>
          </w:tcPr>
          <w:p w14:paraId="5F43ACAA" w14:textId="77777777" w:rsidR="003E7D38" w:rsidRDefault="003E7D38" w:rsidP="00AC3DAF">
            <w:pPr>
              <w:jc w:val="both"/>
              <w:rPr>
                <w:rFonts w:ascii="Arial" w:hAnsi="Arial" w:cs="Arial"/>
                <w:b/>
                <w:color w:val="548DD4" w:themeColor="text2" w:themeTint="99"/>
                <w:sz w:val="18"/>
                <w:szCs w:val="18"/>
                <w:lang w:val="de-DE"/>
              </w:rPr>
            </w:pPr>
          </w:p>
          <w:p w14:paraId="6219D6CE" w14:textId="3FEC1739" w:rsidR="00AC3DAF" w:rsidRDefault="00AC3DAF" w:rsidP="00AC3DAF">
            <w:pPr>
              <w:jc w:val="both"/>
              <w:rPr>
                <w:rFonts w:ascii="Arial" w:hAnsi="Arial" w:cs="Arial"/>
                <w:b/>
                <w:color w:val="548DD4" w:themeColor="text2" w:themeTint="99"/>
                <w:sz w:val="18"/>
                <w:szCs w:val="18"/>
                <w:lang w:val="de-DE"/>
              </w:rPr>
            </w:pPr>
            <w:r w:rsidRPr="003F1291">
              <w:rPr>
                <w:rFonts w:ascii="Arial" w:hAnsi="Arial" w:cs="Arial"/>
                <w:b/>
                <w:color w:val="548DD4" w:themeColor="text2" w:themeTint="99"/>
                <w:sz w:val="18"/>
                <w:szCs w:val="18"/>
                <w:lang w:val="de-DE"/>
              </w:rPr>
              <w:t>Wie lange sollte ich die Anlage halten, und kann ich vorzeitig Geld entnehmen?</w:t>
            </w:r>
          </w:p>
          <w:p w14:paraId="6F39AB39" w14:textId="48066288" w:rsidR="006439B7" w:rsidRPr="003F1291" w:rsidRDefault="006439B7" w:rsidP="00AC3DAF">
            <w:pPr>
              <w:jc w:val="both"/>
              <w:rPr>
                <w:rFonts w:ascii="Arial" w:hAnsi="Arial" w:cs="Arial"/>
                <w:b/>
                <w:color w:val="548DD4" w:themeColor="text2" w:themeTint="99"/>
                <w:sz w:val="18"/>
                <w:szCs w:val="18"/>
                <w:lang w:val="de-DE"/>
              </w:rPr>
            </w:pPr>
            <w:r>
              <w:rPr>
                <w:rFonts w:ascii="Arial" w:hAnsi="Arial" w:cs="Arial"/>
                <w:b/>
                <w:color w:val="548DD4" w:themeColor="text2" w:themeTint="99"/>
                <w:sz w:val="18"/>
                <w:szCs w:val="18"/>
                <w:lang w:val="de-DE"/>
              </w:rPr>
              <w:t>E</w:t>
            </w:r>
            <w:r w:rsidRPr="006439B7">
              <w:rPr>
                <w:rFonts w:ascii="Arial" w:hAnsi="Arial" w:cs="Arial"/>
                <w:b/>
                <w:color w:val="548DD4" w:themeColor="text2" w:themeTint="99"/>
                <w:sz w:val="18"/>
                <w:szCs w:val="18"/>
                <w:lang w:val="de-DE"/>
              </w:rPr>
              <w:t>mpfohlene Haltedauer</w:t>
            </w:r>
            <w:r>
              <w:rPr>
                <w:rFonts w:ascii="Arial" w:hAnsi="Arial" w:cs="Arial"/>
                <w:b/>
                <w:color w:val="548DD4" w:themeColor="text2" w:themeTint="99"/>
                <w:sz w:val="18"/>
                <w:szCs w:val="18"/>
                <w:lang w:val="de-DE"/>
              </w:rPr>
              <w:t xml:space="preserve">: </w:t>
            </w:r>
            <w:r w:rsidR="007321F9">
              <w:rPr>
                <w:rFonts w:ascii="Arial" w:hAnsi="Arial" w:cs="Arial"/>
                <w:b/>
                <w:color w:val="548DD4" w:themeColor="text2" w:themeTint="99"/>
                <w:sz w:val="18"/>
                <w:szCs w:val="18"/>
                <w:lang w:val="de-DE"/>
              </w:rPr>
              <w:t>2 Jahren</w:t>
            </w:r>
            <w:r w:rsidRPr="006439B7">
              <w:rPr>
                <w:rFonts w:ascii="Arial" w:hAnsi="Arial" w:cs="Arial"/>
                <w:b/>
                <w:color w:val="548DD4" w:themeColor="text2" w:themeTint="99"/>
                <w:sz w:val="18"/>
                <w:szCs w:val="18"/>
                <w:lang w:val="de-DE"/>
              </w:rPr>
              <w:t>.</w:t>
            </w:r>
          </w:p>
          <w:p w14:paraId="54C5FCFA" w14:textId="77777777" w:rsidR="005828E8" w:rsidRDefault="001521D6" w:rsidP="00AC3DAF">
            <w:pPr>
              <w:jc w:val="both"/>
              <w:rPr>
                <w:rFonts w:ascii="Arial" w:hAnsi="Arial" w:cs="Arial"/>
                <w:sz w:val="16"/>
                <w:szCs w:val="16"/>
                <w:lang w:val="de-DE"/>
              </w:rPr>
            </w:pPr>
            <w:r>
              <w:rPr>
                <w:rFonts w:ascii="Arial" w:hAnsi="Arial" w:cs="Arial"/>
                <w:sz w:val="16"/>
                <w:szCs w:val="16"/>
                <w:lang w:val="de-DE"/>
              </w:rPr>
              <w:t>Die</w:t>
            </w:r>
            <w:r w:rsidR="007321F9" w:rsidRPr="007321F9">
              <w:rPr>
                <w:lang w:val="de-DE"/>
              </w:rPr>
              <w:t xml:space="preserve"> </w:t>
            </w:r>
            <w:r w:rsidR="007321F9" w:rsidRPr="007321F9">
              <w:rPr>
                <w:rFonts w:ascii="Arial" w:hAnsi="Arial" w:cs="Arial"/>
                <w:sz w:val="16"/>
                <w:szCs w:val="16"/>
                <w:lang w:val="de-DE"/>
              </w:rPr>
              <w:t xml:space="preserve">Wandelschuldverschreibungen </w:t>
            </w:r>
            <w:r w:rsidR="00AC3DAF" w:rsidRPr="002D7004">
              <w:rPr>
                <w:rFonts w:ascii="Arial" w:hAnsi="Arial" w:cs="Arial"/>
                <w:sz w:val="16"/>
                <w:szCs w:val="16"/>
                <w:lang w:val="de-DE"/>
              </w:rPr>
              <w:t>ha</w:t>
            </w:r>
            <w:r>
              <w:rPr>
                <w:rFonts w:ascii="Arial" w:hAnsi="Arial" w:cs="Arial"/>
                <w:sz w:val="16"/>
                <w:szCs w:val="16"/>
                <w:lang w:val="de-DE"/>
              </w:rPr>
              <w:t>ben</w:t>
            </w:r>
            <w:r w:rsidR="00AC3DAF" w:rsidRPr="002D7004">
              <w:rPr>
                <w:rFonts w:ascii="Arial" w:hAnsi="Arial" w:cs="Arial"/>
                <w:sz w:val="16"/>
                <w:szCs w:val="16"/>
                <w:lang w:val="de-DE"/>
              </w:rPr>
              <w:t xml:space="preserve"> eine Laufzeit bis </w:t>
            </w:r>
            <w:r w:rsidR="00AC3DAF" w:rsidRPr="00420C53">
              <w:rPr>
                <w:rFonts w:ascii="Arial" w:hAnsi="Arial" w:cs="Arial"/>
                <w:sz w:val="16"/>
                <w:szCs w:val="16"/>
                <w:lang w:val="de-DE"/>
              </w:rPr>
              <w:t xml:space="preserve">zum </w:t>
            </w:r>
            <w:r w:rsidR="007321F9">
              <w:rPr>
                <w:rFonts w:ascii="Arial" w:hAnsi="Arial"/>
                <w:sz w:val="16"/>
                <w:lang w:val="de-DE"/>
              </w:rPr>
              <w:t>14. September 2025</w:t>
            </w:r>
            <w:r w:rsidR="00AC3DAF" w:rsidRPr="002D7004">
              <w:rPr>
                <w:rFonts w:ascii="Arial" w:hAnsi="Arial" w:cs="Arial"/>
                <w:sz w:val="16"/>
                <w:szCs w:val="16"/>
                <w:lang w:val="de-DE"/>
              </w:rPr>
              <w:t xml:space="preserve">. Eine Desinvestition aufgrund einer ordentlichen Kündigung durch den </w:t>
            </w:r>
            <w:r w:rsidR="00AC3DAF">
              <w:rPr>
                <w:rFonts w:ascii="Arial" w:hAnsi="Arial" w:cs="Arial"/>
                <w:sz w:val="16"/>
                <w:szCs w:val="16"/>
                <w:lang w:val="de-DE"/>
              </w:rPr>
              <w:t xml:space="preserve">Anleger </w:t>
            </w:r>
            <w:r w:rsidR="00AC3DAF" w:rsidRPr="002D7004">
              <w:rPr>
                <w:rFonts w:ascii="Arial" w:hAnsi="Arial" w:cs="Arial"/>
                <w:sz w:val="16"/>
                <w:szCs w:val="16"/>
                <w:lang w:val="de-DE"/>
              </w:rPr>
              <w:t xml:space="preserve">ist nicht vorgesehen. </w:t>
            </w:r>
            <w:r w:rsidR="005828E8" w:rsidRPr="005828E8">
              <w:rPr>
                <w:rFonts w:ascii="Arial" w:hAnsi="Arial" w:cs="Arial"/>
                <w:sz w:val="16"/>
                <w:szCs w:val="16"/>
                <w:lang w:val="de-DE"/>
              </w:rPr>
              <w:t xml:space="preserve">Anleger können das Produkt nur außerordentlich aus wichtigem Grund kündigen. Ein wichtiger Grund liegt insbesondere vor, wenn </w:t>
            </w:r>
          </w:p>
          <w:p w14:paraId="324AB6E3" w14:textId="68540942" w:rsidR="005828E8" w:rsidRDefault="005828E8" w:rsidP="005828E8">
            <w:pPr>
              <w:jc w:val="both"/>
              <w:rPr>
                <w:rFonts w:ascii="Arial" w:hAnsi="Arial" w:cs="Arial"/>
                <w:sz w:val="16"/>
                <w:szCs w:val="16"/>
                <w:lang w:val="de-DE"/>
              </w:rPr>
            </w:pPr>
            <w:r>
              <w:rPr>
                <w:rFonts w:ascii="Arial" w:hAnsi="Arial" w:cs="Arial"/>
                <w:sz w:val="16"/>
                <w:szCs w:val="16"/>
                <w:lang w:val="de-DE"/>
              </w:rPr>
              <w:t>(</w:t>
            </w:r>
            <w:r w:rsidRPr="005828E8">
              <w:rPr>
                <w:rFonts w:ascii="Arial" w:hAnsi="Arial" w:cs="Arial"/>
                <w:sz w:val="16"/>
                <w:szCs w:val="16"/>
                <w:lang w:val="de-DE"/>
              </w:rPr>
              <w:t>a</w:t>
            </w:r>
            <w:r>
              <w:rPr>
                <w:rFonts w:ascii="Arial" w:hAnsi="Arial" w:cs="Arial"/>
                <w:sz w:val="16"/>
                <w:szCs w:val="16"/>
                <w:lang w:val="de-DE"/>
              </w:rPr>
              <w:t xml:space="preserve">) </w:t>
            </w:r>
            <w:r w:rsidRPr="005828E8">
              <w:rPr>
                <w:rFonts w:ascii="Arial" w:hAnsi="Arial" w:cs="Arial"/>
                <w:sz w:val="16"/>
                <w:szCs w:val="16"/>
                <w:lang w:val="de-DE"/>
              </w:rPr>
              <w:t xml:space="preserve">die </w:t>
            </w:r>
            <w:r w:rsidR="009D74D1">
              <w:rPr>
                <w:rFonts w:ascii="Arial" w:hAnsi="Arial" w:cs="Arial"/>
                <w:sz w:val="16"/>
                <w:szCs w:val="16"/>
                <w:lang w:val="de-DE"/>
              </w:rPr>
              <w:t>Emittentin</w:t>
            </w:r>
            <w:r w:rsidRPr="005828E8">
              <w:rPr>
                <w:rFonts w:ascii="Arial" w:hAnsi="Arial" w:cs="Arial"/>
                <w:sz w:val="16"/>
                <w:szCs w:val="16"/>
                <w:lang w:val="de-DE"/>
              </w:rPr>
              <w:t xml:space="preserve"> ihre Zahlungsunfähigkeit bekannt gibt oder ihre Zahlungen einstellt,</w:t>
            </w:r>
            <w:r>
              <w:rPr>
                <w:rFonts w:ascii="Arial" w:hAnsi="Arial" w:cs="Arial"/>
                <w:sz w:val="16"/>
                <w:szCs w:val="16"/>
                <w:lang w:val="de-DE"/>
              </w:rPr>
              <w:t xml:space="preserve"> (</w:t>
            </w:r>
            <w:r w:rsidRPr="005828E8">
              <w:rPr>
                <w:rFonts w:ascii="Arial" w:hAnsi="Arial" w:cs="Arial"/>
                <w:sz w:val="16"/>
                <w:szCs w:val="16"/>
                <w:lang w:val="de-DE"/>
              </w:rPr>
              <w:t>b</w:t>
            </w:r>
            <w:r>
              <w:rPr>
                <w:rFonts w:ascii="Arial" w:hAnsi="Arial" w:cs="Arial"/>
                <w:sz w:val="16"/>
                <w:szCs w:val="16"/>
                <w:lang w:val="de-DE"/>
              </w:rPr>
              <w:t>)</w:t>
            </w:r>
            <w:r w:rsidR="00B64DCC">
              <w:rPr>
                <w:rFonts w:ascii="Arial" w:hAnsi="Arial" w:cs="Arial"/>
                <w:sz w:val="16"/>
                <w:szCs w:val="16"/>
                <w:lang w:val="de-DE"/>
              </w:rPr>
              <w:t xml:space="preserve"> </w:t>
            </w:r>
            <w:r w:rsidRPr="005828E8">
              <w:rPr>
                <w:rFonts w:ascii="Arial" w:hAnsi="Arial" w:cs="Arial"/>
                <w:sz w:val="16"/>
                <w:szCs w:val="16"/>
                <w:lang w:val="de-DE"/>
              </w:rPr>
              <w:t xml:space="preserve">gegen die </w:t>
            </w:r>
            <w:r w:rsidR="009D74D1">
              <w:rPr>
                <w:rFonts w:ascii="Arial" w:hAnsi="Arial" w:cs="Arial"/>
                <w:sz w:val="16"/>
                <w:szCs w:val="16"/>
                <w:lang w:val="de-DE"/>
              </w:rPr>
              <w:t>Emittentin</w:t>
            </w:r>
            <w:r w:rsidRPr="005828E8">
              <w:rPr>
                <w:rFonts w:ascii="Arial" w:hAnsi="Arial" w:cs="Arial"/>
                <w:sz w:val="16"/>
                <w:szCs w:val="16"/>
                <w:lang w:val="de-DE"/>
              </w:rPr>
              <w:t xml:space="preserve"> ein Insolvenzverfahren gerichtlich eröffnet wird, das nicht innerhalb von 60 Tagen nach dessen Eröffnung aufgehoben oder ausgesetzt wird, oder die </w:t>
            </w:r>
            <w:r w:rsidR="009D74D1">
              <w:rPr>
                <w:rFonts w:ascii="Arial" w:hAnsi="Arial" w:cs="Arial"/>
                <w:sz w:val="16"/>
                <w:szCs w:val="16"/>
                <w:lang w:val="de-DE"/>
              </w:rPr>
              <w:t>Emittentin</w:t>
            </w:r>
            <w:r w:rsidRPr="005828E8">
              <w:rPr>
                <w:rFonts w:ascii="Arial" w:hAnsi="Arial" w:cs="Arial"/>
                <w:sz w:val="16"/>
                <w:szCs w:val="16"/>
                <w:lang w:val="de-DE"/>
              </w:rPr>
              <w:t xml:space="preserve"> selbst ein solches Verfahren beantragt oder ihre Zahlungen einstellt oder einen generellen Vergleich mit der Gesamtheit ihrer Gläubiger anbietet oder durchführt, oder</w:t>
            </w:r>
            <w:r>
              <w:rPr>
                <w:rFonts w:ascii="Arial" w:hAnsi="Arial" w:cs="Arial"/>
                <w:sz w:val="16"/>
                <w:szCs w:val="16"/>
                <w:lang w:val="de-DE"/>
              </w:rPr>
              <w:t xml:space="preserve"> (</w:t>
            </w:r>
            <w:r w:rsidRPr="005828E8">
              <w:rPr>
                <w:rFonts w:ascii="Arial" w:hAnsi="Arial" w:cs="Arial"/>
                <w:sz w:val="16"/>
                <w:szCs w:val="16"/>
                <w:lang w:val="de-DE"/>
              </w:rPr>
              <w:t>c</w:t>
            </w:r>
            <w:r>
              <w:rPr>
                <w:rFonts w:ascii="Arial" w:hAnsi="Arial" w:cs="Arial"/>
                <w:sz w:val="16"/>
                <w:szCs w:val="16"/>
                <w:lang w:val="de-DE"/>
              </w:rPr>
              <w:t xml:space="preserve">) </w:t>
            </w:r>
            <w:r w:rsidRPr="005828E8">
              <w:rPr>
                <w:rFonts w:ascii="Arial" w:hAnsi="Arial" w:cs="Arial"/>
                <w:sz w:val="16"/>
                <w:szCs w:val="16"/>
                <w:lang w:val="de-DE"/>
              </w:rPr>
              <w:t xml:space="preserve">die </w:t>
            </w:r>
            <w:r w:rsidR="009D74D1">
              <w:rPr>
                <w:rFonts w:ascii="Arial" w:hAnsi="Arial" w:cs="Arial"/>
                <w:sz w:val="16"/>
                <w:szCs w:val="16"/>
                <w:lang w:val="de-DE"/>
              </w:rPr>
              <w:t>Emittentin</w:t>
            </w:r>
            <w:r w:rsidRPr="005828E8">
              <w:rPr>
                <w:rFonts w:ascii="Arial" w:hAnsi="Arial" w:cs="Arial"/>
                <w:sz w:val="16"/>
                <w:szCs w:val="16"/>
                <w:lang w:val="de-DE"/>
              </w:rPr>
              <w:t xml:space="preserve"> in Liquidation tritt, es sei denn, dass eine solche Liquidation im Zusammenhang mit einer Verschmelzung, Konsolidierung oder einer anderen Form des Zusammenschlusses mit einer anderen Gesellschaft vorgenommen wird und diese Gesellschaft anstelle der </w:t>
            </w:r>
            <w:r w:rsidR="009D74D1">
              <w:rPr>
                <w:rFonts w:ascii="Arial" w:hAnsi="Arial" w:cs="Arial"/>
                <w:sz w:val="16"/>
                <w:szCs w:val="16"/>
                <w:lang w:val="de-DE"/>
              </w:rPr>
              <w:t>Emittentin</w:t>
            </w:r>
            <w:r w:rsidRPr="005828E8">
              <w:rPr>
                <w:rFonts w:ascii="Arial" w:hAnsi="Arial" w:cs="Arial"/>
                <w:sz w:val="16"/>
                <w:szCs w:val="16"/>
                <w:lang w:val="de-DE"/>
              </w:rPr>
              <w:t xml:space="preserve"> alle Verpflichtungen aus diesen Anleihebedingungen übernimmt</w:t>
            </w:r>
            <w:r>
              <w:rPr>
                <w:rFonts w:ascii="Arial" w:hAnsi="Arial" w:cs="Arial"/>
                <w:sz w:val="16"/>
                <w:szCs w:val="16"/>
                <w:lang w:val="de-DE"/>
              </w:rPr>
              <w:t>.</w:t>
            </w:r>
          </w:p>
          <w:p w14:paraId="0B2F945F" w14:textId="4C008ACF" w:rsidR="00AC3DAF" w:rsidRPr="002D7004" w:rsidRDefault="00AC3DAF" w:rsidP="00AC3DAF">
            <w:pPr>
              <w:jc w:val="both"/>
              <w:rPr>
                <w:rFonts w:ascii="Arial" w:hAnsi="Arial" w:cs="Arial"/>
                <w:sz w:val="16"/>
                <w:szCs w:val="16"/>
                <w:lang w:val="de-DE"/>
              </w:rPr>
            </w:pPr>
            <w:r w:rsidRPr="002D7004">
              <w:rPr>
                <w:rFonts w:ascii="Arial" w:hAnsi="Arial" w:cs="Arial"/>
                <w:sz w:val="16"/>
                <w:szCs w:val="16"/>
                <w:lang w:val="de-DE"/>
              </w:rPr>
              <w:t xml:space="preserve">Ausgehend von dem </w:t>
            </w:r>
            <w:r w:rsidR="00A054FD">
              <w:rPr>
                <w:rFonts w:ascii="Arial" w:hAnsi="Arial" w:cs="Arial"/>
                <w:sz w:val="16"/>
                <w:szCs w:val="16"/>
                <w:lang w:val="de-DE"/>
              </w:rPr>
              <w:t xml:space="preserve">Laufzeitende </w:t>
            </w:r>
            <w:r w:rsidRPr="002D7004">
              <w:rPr>
                <w:rFonts w:ascii="Arial" w:hAnsi="Arial" w:cs="Arial"/>
                <w:sz w:val="16"/>
                <w:szCs w:val="16"/>
                <w:lang w:val="de-DE"/>
              </w:rPr>
              <w:t xml:space="preserve">beträgt </w:t>
            </w:r>
            <w:r>
              <w:rPr>
                <w:rFonts w:ascii="Arial" w:hAnsi="Arial" w:cs="Arial"/>
                <w:sz w:val="16"/>
                <w:szCs w:val="16"/>
                <w:lang w:val="de-DE"/>
              </w:rPr>
              <w:t xml:space="preserve">die Haltedauer </w:t>
            </w:r>
            <w:r w:rsidR="007321F9">
              <w:rPr>
                <w:rFonts w:ascii="Arial" w:hAnsi="Arial" w:cs="Arial"/>
                <w:sz w:val="16"/>
                <w:szCs w:val="16"/>
                <w:lang w:val="de-DE"/>
              </w:rPr>
              <w:t>2 Jahre</w:t>
            </w:r>
            <w:r w:rsidRPr="002D7004">
              <w:rPr>
                <w:rFonts w:ascii="Arial" w:hAnsi="Arial" w:cs="Arial"/>
                <w:sz w:val="16"/>
                <w:szCs w:val="16"/>
                <w:lang w:val="de-DE"/>
              </w:rPr>
              <w:t xml:space="preserve">. Diese Laufzeit ist erforderlich, </w:t>
            </w:r>
            <w:r w:rsidR="003E7D38">
              <w:rPr>
                <w:rFonts w:ascii="Arial" w:hAnsi="Arial" w:cs="Arial"/>
                <w:sz w:val="16"/>
                <w:szCs w:val="16"/>
                <w:lang w:val="de-DE"/>
              </w:rPr>
              <w:t xml:space="preserve">damit die Emittentin ausreichend </w:t>
            </w:r>
            <w:r w:rsidR="0087345B">
              <w:rPr>
                <w:rFonts w:ascii="Arial" w:hAnsi="Arial" w:cs="Arial"/>
                <w:sz w:val="16"/>
                <w:szCs w:val="16"/>
                <w:lang w:val="de-DE"/>
              </w:rPr>
              <w:t xml:space="preserve">Zeit für </w:t>
            </w:r>
            <w:r w:rsidR="007321F9">
              <w:rPr>
                <w:rFonts w:ascii="Arial" w:hAnsi="Arial" w:cs="Arial"/>
                <w:sz w:val="16"/>
                <w:szCs w:val="16"/>
                <w:lang w:val="de-DE"/>
              </w:rPr>
              <w:t xml:space="preserve">weitere Akquisitionen und den Ausbau des Geschäfts hat </w:t>
            </w:r>
            <w:r w:rsidR="00B64DCC">
              <w:rPr>
                <w:rFonts w:ascii="Arial" w:hAnsi="Arial" w:cs="Arial"/>
                <w:sz w:val="16"/>
                <w:szCs w:val="16"/>
                <w:lang w:val="de-DE"/>
              </w:rPr>
              <w:t xml:space="preserve">und </w:t>
            </w:r>
            <w:r w:rsidR="00DE7331">
              <w:rPr>
                <w:rFonts w:ascii="Arial" w:hAnsi="Arial" w:cs="Arial"/>
                <w:sz w:val="16"/>
                <w:szCs w:val="16"/>
                <w:lang w:val="de-DE"/>
              </w:rPr>
              <w:t xml:space="preserve">die </w:t>
            </w:r>
            <w:r w:rsidR="007321F9">
              <w:rPr>
                <w:rFonts w:ascii="Arial" w:hAnsi="Arial" w:cs="Arial"/>
                <w:sz w:val="16"/>
                <w:szCs w:val="16"/>
                <w:lang w:val="de-DE"/>
              </w:rPr>
              <w:t>Wandelschuldverschreibungen</w:t>
            </w:r>
            <w:r w:rsidR="00DE7331">
              <w:rPr>
                <w:rFonts w:ascii="Arial" w:hAnsi="Arial" w:cs="Arial"/>
                <w:sz w:val="16"/>
                <w:szCs w:val="16"/>
                <w:lang w:val="de-DE"/>
              </w:rPr>
              <w:t xml:space="preserve"> zurückgeführt werden können</w:t>
            </w:r>
            <w:r>
              <w:rPr>
                <w:rFonts w:ascii="Arial" w:hAnsi="Arial" w:cs="Arial"/>
                <w:sz w:val="16"/>
                <w:szCs w:val="16"/>
                <w:lang w:val="de-DE"/>
              </w:rPr>
              <w:t>.</w:t>
            </w:r>
            <w:r w:rsidRPr="002D7004">
              <w:rPr>
                <w:rFonts w:ascii="Arial" w:hAnsi="Arial" w:cs="Arial"/>
                <w:sz w:val="16"/>
                <w:szCs w:val="16"/>
                <w:lang w:val="de-DE"/>
              </w:rPr>
              <w:t xml:space="preserve"> Eine vorzeitige, außerordentliche Kündigung führt dazu, dass der </w:t>
            </w:r>
            <w:r>
              <w:rPr>
                <w:rFonts w:ascii="Arial" w:hAnsi="Arial" w:cs="Arial"/>
                <w:sz w:val="16"/>
                <w:szCs w:val="16"/>
                <w:lang w:val="de-DE"/>
              </w:rPr>
              <w:t>Anleger</w:t>
            </w:r>
            <w:r w:rsidRPr="002D7004">
              <w:rPr>
                <w:rFonts w:ascii="Arial" w:hAnsi="Arial" w:cs="Arial"/>
                <w:sz w:val="16"/>
                <w:szCs w:val="16"/>
                <w:lang w:val="de-DE"/>
              </w:rPr>
              <w:t xml:space="preserve"> nicht mehr an einer Verzinsung teilnimmt</w:t>
            </w:r>
            <w:r>
              <w:rPr>
                <w:rFonts w:ascii="Arial" w:hAnsi="Arial" w:cs="Arial"/>
                <w:sz w:val="16"/>
                <w:szCs w:val="16"/>
                <w:lang w:val="de-DE"/>
              </w:rPr>
              <w:t xml:space="preserve"> und sich dem Risiko aussetzt, sein Kapital nicht oder erst verspätet zurückzuerhalten.</w:t>
            </w:r>
            <w:r w:rsidRPr="002D7004">
              <w:rPr>
                <w:rFonts w:ascii="Arial" w:hAnsi="Arial" w:cs="Arial"/>
                <w:sz w:val="16"/>
                <w:szCs w:val="16"/>
                <w:lang w:val="de-DE"/>
              </w:rPr>
              <w:t xml:space="preserve"> Dies wirkt sich negativ auf seine Gesamtrendite aus. Zudem besteht das Risiko, dass die </w:t>
            </w:r>
            <w:r w:rsidRPr="00B71F53">
              <w:rPr>
                <w:rFonts w:ascii="Arial" w:hAnsi="Arial" w:cs="Arial"/>
                <w:sz w:val="16"/>
                <w:szCs w:val="16"/>
                <w:lang w:val="de-DE"/>
              </w:rPr>
              <w:t>Emittentin</w:t>
            </w:r>
            <w:r>
              <w:rPr>
                <w:rFonts w:ascii="Arial" w:hAnsi="Arial" w:cs="Arial"/>
                <w:sz w:val="16"/>
                <w:szCs w:val="16"/>
                <w:lang w:val="de-DE"/>
              </w:rPr>
              <w:t xml:space="preserve"> </w:t>
            </w:r>
            <w:r w:rsidR="001521D6">
              <w:rPr>
                <w:rFonts w:ascii="Arial" w:hAnsi="Arial" w:cs="Arial"/>
                <w:sz w:val="16"/>
                <w:szCs w:val="16"/>
                <w:lang w:val="de-DE"/>
              </w:rPr>
              <w:t xml:space="preserve">die </w:t>
            </w:r>
            <w:r w:rsidR="007321F9" w:rsidRPr="007321F9">
              <w:rPr>
                <w:rFonts w:ascii="Arial" w:hAnsi="Arial" w:cs="Arial"/>
                <w:sz w:val="16"/>
                <w:szCs w:val="16"/>
                <w:lang w:val="de-DE"/>
              </w:rPr>
              <w:t xml:space="preserve">Wandelschuldverschreibungen </w:t>
            </w:r>
            <w:r w:rsidRPr="002D7004">
              <w:rPr>
                <w:rFonts w:ascii="Arial" w:hAnsi="Arial" w:cs="Arial"/>
                <w:sz w:val="16"/>
                <w:szCs w:val="16"/>
                <w:lang w:val="de-DE"/>
              </w:rPr>
              <w:t xml:space="preserve">und die noch nicht ausbezahlten Zinsen mangels Liquidität nicht auszahlen kann. </w:t>
            </w:r>
            <w:r>
              <w:rPr>
                <w:rFonts w:ascii="Arial" w:hAnsi="Arial" w:cs="Arial"/>
                <w:sz w:val="16"/>
                <w:szCs w:val="16"/>
                <w:lang w:val="de-DE"/>
              </w:rPr>
              <w:t>D</w:t>
            </w:r>
            <w:r w:rsidRPr="002D7004">
              <w:rPr>
                <w:rFonts w:ascii="Arial" w:hAnsi="Arial" w:cs="Arial"/>
                <w:sz w:val="16"/>
                <w:szCs w:val="16"/>
                <w:lang w:val="de-DE"/>
              </w:rPr>
              <w:t xml:space="preserve">a </w:t>
            </w:r>
            <w:r w:rsidR="00D11B6D">
              <w:rPr>
                <w:rFonts w:ascii="Arial" w:hAnsi="Arial" w:cs="Arial"/>
                <w:sz w:val="16"/>
                <w:szCs w:val="16"/>
                <w:lang w:val="de-DE"/>
              </w:rPr>
              <w:t xml:space="preserve">weder </w:t>
            </w:r>
            <w:r w:rsidR="001521D6">
              <w:rPr>
                <w:rFonts w:ascii="Arial" w:hAnsi="Arial" w:cs="Arial"/>
                <w:sz w:val="16"/>
                <w:szCs w:val="16"/>
                <w:lang w:val="de-DE"/>
              </w:rPr>
              <w:t xml:space="preserve">eine </w:t>
            </w:r>
            <w:r w:rsidR="00DE7331">
              <w:rPr>
                <w:rFonts w:ascii="Arial" w:hAnsi="Arial" w:cs="Arial"/>
                <w:sz w:val="16"/>
                <w:szCs w:val="16"/>
                <w:lang w:val="de-DE"/>
              </w:rPr>
              <w:t>Zulassung</w:t>
            </w:r>
            <w:r w:rsidR="00836B69">
              <w:rPr>
                <w:rFonts w:ascii="Arial" w:hAnsi="Arial" w:cs="Arial"/>
                <w:sz w:val="16"/>
                <w:szCs w:val="16"/>
                <w:lang w:val="de-DE"/>
              </w:rPr>
              <w:t xml:space="preserve"> </w:t>
            </w:r>
            <w:r w:rsidR="00D11B6D">
              <w:rPr>
                <w:rFonts w:ascii="Arial" w:hAnsi="Arial" w:cs="Arial"/>
                <w:sz w:val="16"/>
                <w:szCs w:val="16"/>
                <w:lang w:val="de-DE"/>
              </w:rPr>
              <w:t xml:space="preserve">noch </w:t>
            </w:r>
            <w:r w:rsidR="002D6D0B">
              <w:rPr>
                <w:rFonts w:ascii="Arial" w:hAnsi="Arial" w:cs="Arial"/>
                <w:sz w:val="16"/>
                <w:szCs w:val="16"/>
                <w:lang w:val="de-DE"/>
              </w:rPr>
              <w:t xml:space="preserve">eine </w:t>
            </w:r>
            <w:r w:rsidR="00D11B6D">
              <w:rPr>
                <w:rFonts w:ascii="Arial" w:hAnsi="Arial" w:cs="Arial"/>
                <w:sz w:val="16"/>
                <w:szCs w:val="16"/>
                <w:lang w:val="de-DE"/>
              </w:rPr>
              <w:t>Einbeziehung</w:t>
            </w:r>
            <w:r w:rsidR="001521D6">
              <w:rPr>
                <w:rFonts w:ascii="Arial" w:hAnsi="Arial" w:cs="Arial"/>
                <w:sz w:val="16"/>
                <w:szCs w:val="16"/>
                <w:lang w:val="de-DE"/>
              </w:rPr>
              <w:t xml:space="preserve"> der </w:t>
            </w:r>
            <w:r w:rsidR="007321F9" w:rsidRPr="007321F9">
              <w:rPr>
                <w:rFonts w:ascii="Arial" w:hAnsi="Arial" w:cs="Arial"/>
                <w:sz w:val="16"/>
                <w:szCs w:val="16"/>
                <w:lang w:val="de-DE"/>
              </w:rPr>
              <w:t>Wandelschuldverschreibungen</w:t>
            </w:r>
            <w:r w:rsidR="001521D6">
              <w:rPr>
                <w:rFonts w:ascii="Arial" w:hAnsi="Arial" w:cs="Arial"/>
                <w:sz w:val="16"/>
                <w:szCs w:val="16"/>
                <w:lang w:val="de-DE"/>
              </w:rPr>
              <w:t xml:space="preserve"> zum Handel an einer Börse geplant ist,</w:t>
            </w:r>
            <w:r>
              <w:rPr>
                <w:rFonts w:ascii="Arial" w:hAnsi="Arial" w:cs="Arial"/>
                <w:sz w:val="16"/>
                <w:szCs w:val="16"/>
                <w:lang w:val="de-DE"/>
              </w:rPr>
              <w:t xml:space="preserve"> kann eine Weiterveräußerung nicht oder nur mit Verlusten möglich sein.</w:t>
            </w:r>
          </w:p>
        </w:tc>
      </w:tr>
      <w:tr w:rsidR="00AC3DAF" w:rsidRPr="009D74D1" w14:paraId="36B95C64" w14:textId="77777777" w:rsidTr="00720E1E">
        <w:tc>
          <w:tcPr>
            <w:tcW w:w="11483" w:type="dxa"/>
            <w:gridSpan w:val="3"/>
            <w:tcBorders>
              <w:left w:val="nil"/>
              <w:bottom w:val="single" w:sz="4" w:space="0" w:color="auto"/>
              <w:right w:val="nil"/>
            </w:tcBorders>
            <w:shd w:val="clear" w:color="auto" w:fill="FFFFFF" w:themeFill="background1"/>
          </w:tcPr>
          <w:p w14:paraId="346957E7" w14:textId="018CD812" w:rsidR="00AC3DAF" w:rsidRPr="00C86BCC" w:rsidRDefault="00AC3DAF" w:rsidP="00AC3DAF">
            <w:pPr>
              <w:jc w:val="both"/>
              <w:rPr>
                <w:rFonts w:ascii="Arial" w:hAnsi="Arial" w:cs="Arial"/>
                <w:sz w:val="18"/>
                <w:szCs w:val="18"/>
                <w:lang w:val="de-DE"/>
              </w:rPr>
            </w:pPr>
            <w:r w:rsidRPr="00C86BCC">
              <w:rPr>
                <w:rFonts w:ascii="Arial" w:hAnsi="Arial" w:cs="Arial"/>
                <w:b/>
                <w:color w:val="548DD4" w:themeColor="text2" w:themeTint="99"/>
                <w:sz w:val="18"/>
                <w:szCs w:val="18"/>
                <w:lang w:val="de-DE"/>
              </w:rPr>
              <w:t>Wie kann ich mich beschweren?</w:t>
            </w:r>
          </w:p>
          <w:p w14:paraId="25974185" w14:textId="0341A703" w:rsidR="00AC3DAF" w:rsidRPr="00C86BCC" w:rsidRDefault="00AC3DAF" w:rsidP="00AC3DAF">
            <w:pPr>
              <w:jc w:val="both"/>
              <w:rPr>
                <w:rFonts w:ascii="Arial" w:hAnsi="Arial" w:cs="Arial"/>
                <w:sz w:val="16"/>
                <w:szCs w:val="16"/>
                <w:lang w:val="de-DE"/>
              </w:rPr>
            </w:pPr>
            <w:r w:rsidRPr="00C86BCC">
              <w:rPr>
                <w:rFonts w:ascii="Arial" w:hAnsi="Arial" w:cs="Arial"/>
                <w:sz w:val="16"/>
                <w:szCs w:val="16"/>
                <w:lang w:val="de-DE"/>
              </w:rPr>
              <w:t xml:space="preserve">Beschwerden über denjenigen, der Sie zu dem Produkt berät oder es Ihnen verkauft, sollten unmittelbar an diesen gerichtet werden. Beschwerden über das Produkt oder über das Verhalten der Emittentin können in Textform (z.B. per Brief oder E-Mail) an die Emittentin unter folgender Anschrift oder E-Mail-Adresse gerichtet werden: </w:t>
            </w:r>
            <w:r w:rsidR="007321F9" w:rsidRPr="007321F9">
              <w:rPr>
                <w:rFonts w:ascii="Arial" w:hAnsi="Arial" w:cs="Arial"/>
                <w:sz w:val="16"/>
                <w:szCs w:val="16"/>
                <w:lang w:val="de-DE"/>
              </w:rPr>
              <w:t>SynBiotic SE</w:t>
            </w:r>
            <w:r w:rsidR="00B64DCC">
              <w:rPr>
                <w:rFonts w:ascii="Arial" w:hAnsi="Arial" w:cs="Arial"/>
                <w:sz w:val="16"/>
                <w:szCs w:val="16"/>
                <w:lang w:val="de-DE"/>
              </w:rPr>
              <w:t>,</w:t>
            </w:r>
            <w:r w:rsidR="007321F9" w:rsidRPr="007321F9">
              <w:rPr>
                <w:rFonts w:ascii="Arial" w:hAnsi="Arial" w:cs="Arial"/>
                <w:sz w:val="16"/>
                <w:szCs w:val="16"/>
                <w:lang w:val="de-DE"/>
              </w:rPr>
              <w:t xml:space="preserve"> Barer Str. 7</w:t>
            </w:r>
            <w:r w:rsidR="00B64DCC">
              <w:rPr>
                <w:rFonts w:ascii="Arial" w:hAnsi="Arial" w:cs="Arial"/>
                <w:sz w:val="16"/>
                <w:szCs w:val="16"/>
                <w:lang w:val="de-DE"/>
              </w:rPr>
              <w:t>,</w:t>
            </w:r>
            <w:r w:rsidR="007321F9" w:rsidRPr="007321F9">
              <w:rPr>
                <w:rFonts w:ascii="Arial" w:hAnsi="Arial" w:cs="Arial"/>
                <w:sz w:val="16"/>
                <w:szCs w:val="16"/>
                <w:lang w:val="de-DE"/>
              </w:rPr>
              <w:t xml:space="preserve"> 80333 München</w:t>
            </w:r>
            <w:r w:rsidRPr="00C86BCC">
              <w:rPr>
                <w:rFonts w:ascii="Arial" w:hAnsi="Arial" w:cs="Arial"/>
                <w:sz w:val="16"/>
                <w:szCs w:val="16"/>
                <w:lang w:val="de-DE"/>
              </w:rPr>
              <w:t xml:space="preserve">; </w:t>
            </w:r>
            <w:r w:rsidR="007321F9" w:rsidRPr="007321F9">
              <w:rPr>
                <w:rFonts w:ascii="Arial" w:hAnsi="Arial" w:cs="Arial"/>
                <w:sz w:val="16"/>
                <w:szCs w:val="16"/>
                <w:lang w:val="de-DE"/>
              </w:rPr>
              <w:t>office@synbiotic.com</w:t>
            </w:r>
          </w:p>
        </w:tc>
      </w:tr>
      <w:tr w:rsidR="00AC3DAF" w:rsidRPr="009D74D1" w14:paraId="6F976315" w14:textId="77777777" w:rsidTr="00720E1E">
        <w:tc>
          <w:tcPr>
            <w:tcW w:w="11483" w:type="dxa"/>
            <w:gridSpan w:val="3"/>
            <w:tcBorders>
              <w:left w:val="nil"/>
              <w:bottom w:val="nil"/>
              <w:right w:val="nil"/>
            </w:tcBorders>
            <w:shd w:val="clear" w:color="auto" w:fill="FFFFFF" w:themeFill="background1"/>
          </w:tcPr>
          <w:p w14:paraId="43B5B072" w14:textId="333865B2" w:rsidR="00AC3DAF" w:rsidRPr="00C86BCC" w:rsidRDefault="00AC3DAF" w:rsidP="00AC3DAF">
            <w:pPr>
              <w:jc w:val="both"/>
              <w:rPr>
                <w:rFonts w:ascii="Arial" w:hAnsi="Arial" w:cs="Arial"/>
                <w:sz w:val="18"/>
                <w:szCs w:val="18"/>
                <w:lang w:val="de-DE"/>
              </w:rPr>
            </w:pPr>
            <w:r w:rsidRPr="00C86BCC">
              <w:rPr>
                <w:rFonts w:ascii="Arial" w:hAnsi="Arial" w:cs="Arial"/>
                <w:b/>
                <w:color w:val="548DD4" w:themeColor="text2" w:themeTint="99"/>
                <w:sz w:val="18"/>
                <w:szCs w:val="18"/>
                <w:lang w:val="de-DE"/>
              </w:rPr>
              <w:t>Sonstige zweckdienliche Angaben</w:t>
            </w:r>
          </w:p>
          <w:p w14:paraId="70F7DAF2" w14:textId="4224E4BC" w:rsidR="00AC3DAF" w:rsidRPr="00C86BCC" w:rsidRDefault="00AC3DAF" w:rsidP="00AC3DAF">
            <w:pPr>
              <w:jc w:val="both"/>
              <w:rPr>
                <w:rFonts w:ascii="Arial" w:hAnsi="Arial" w:cs="Arial"/>
                <w:sz w:val="16"/>
                <w:szCs w:val="16"/>
                <w:lang w:val="de-DE"/>
              </w:rPr>
            </w:pPr>
            <w:r w:rsidRPr="00C86BCC">
              <w:rPr>
                <w:rFonts w:ascii="Arial" w:hAnsi="Arial" w:cs="Arial"/>
                <w:sz w:val="16"/>
                <w:szCs w:val="16"/>
                <w:lang w:val="de-DE"/>
              </w:rPr>
              <w:t xml:space="preserve">Dieses Basisinformationsblatt richtet sich ausschließlich an Anleger in Deutschland. Es stellt weder ein Angebot noch eine Beratung, Empfehlung oder Aufforderung zum Kauf oder Verkauf </w:t>
            </w:r>
            <w:r w:rsidR="001521D6" w:rsidRPr="00C86BCC">
              <w:rPr>
                <w:rFonts w:ascii="Arial" w:hAnsi="Arial" w:cs="Arial"/>
                <w:sz w:val="16"/>
                <w:szCs w:val="16"/>
                <w:lang w:val="de-DE"/>
              </w:rPr>
              <w:t xml:space="preserve">der </w:t>
            </w:r>
            <w:r w:rsidR="009D74D1">
              <w:rPr>
                <w:rFonts w:ascii="Arial" w:hAnsi="Arial" w:cs="Arial"/>
                <w:sz w:val="16"/>
                <w:szCs w:val="16"/>
                <w:lang w:val="de-DE"/>
              </w:rPr>
              <w:t>Teils</w:t>
            </w:r>
            <w:r w:rsidR="001521D6" w:rsidRPr="00C86BCC">
              <w:rPr>
                <w:rFonts w:ascii="Arial" w:hAnsi="Arial" w:cs="Arial"/>
                <w:sz w:val="16"/>
                <w:szCs w:val="16"/>
                <w:lang w:val="de-DE"/>
              </w:rPr>
              <w:t>chuldverschreibungen</w:t>
            </w:r>
            <w:r w:rsidRPr="00C86BCC">
              <w:rPr>
                <w:rFonts w:ascii="Arial" w:hAnsi="Arial" w:cs="Arial"/>
                <w:sz w:val="16"/>
                <w:szCs w:val="16"/>
                <w:lang w:val="de-DE"/>
              </w:rPr>
              <w:t xml:space="preserve"> noch eine Bestätigung einer Transaktion dar, sondern dient nur Informationszwecken. Um vollständige und weitere Informationen zu erhalten, insbesondere zur Struktur und zu den mit einer Investition verbundenen Risiken, sollten potenzielle Anleger vor Erwerb der Anlage eine Beratung zur Anlage sowie zur steuerlichen und rechtlichen Situation einholen, um die individuelle Eignung der Anlage zu prüfen. Dieses Basisinformationsblatt</w:t>
            </w:r>
            <w:r w:rsidR="007321F9">
              <w:rPr>
                <w:rFonts w:ascii="Arial" w:hAnsi="Arial" w:cs="Arial"/>
                <w:sz w:val="16"/>
                <w:szCs w:val="16"/>
                <w:lang w:val="de-DE"/>
              </w:rPr>
              <w:t xml:space="preserve"> und</w:t>
            </w:r>
            <w:r w:rsidR="001521D6" w:rsidRPr="00C86BCC">
              <w:rPr>
                <w:rFonts w:ascii="Arial" w:hAnsi="Arial" w:cs="Arial"/>
                <w:sz w:val="16"/>
                <w:szCs w:val="16"/>
                <w:lang w:val="de-DE"/>
              </w:rPr>
              <w:t xml:space="preserve"> </w:t>
            </w:r>
            <w:r w:rsidRPr="00C86BCC">
              <w:rPr>
                <w:rFonts w:ascii="Arial" w:hAnsi="Arial" w:cs="Arial"/>
                <w:sz w:val="16"/>
                <w:szCs w:val="16"/>
                <w:lang w:val="de-DE"/>
              </w:rPr>
              <w:t xml:space="preserve">die </w:t>
            </w:r>
            <w:r w:rsidR="007321F9">
              <w:rPr>
                <w:rFonts w:ascii="Arial" w:hAnsi="Arial" w:cs="Arial"/>
                <w:sz w:val="16"/>
                <w:szCs w:val="16"/>
                <w:lang w:val="de-DE"/>
              </w:rPr>
              <w:t>Wandela</w:t>
            </w:r>
            <w:r w:rsidR="001521D6" w:rsidRPr="00C86BCC">
              <w:rPr>
                <w:rFonts w:ascii="Arial" w:hAnsi="Arial" w:cs="Arial"/>
                <w:sz w:val="16"/>
                <w:szCs w:val="16"/>
                <w:lang w:val="de-DE"/>
              </w:rPr>
              <w:t>nleihe</w:t>
            </w:r>
            <w:r w:rsidRPr="00C86BCC">
              <w:rPr>
                <w:rFonts w:ascii="Arial" w:hAnsi="Arial" w:cs="Arial"/>
                <w:sz w:val="16"/>
                <w:szCs w:val="16"/>
                <w:lang w:val="de-DE"/>
              </w:rPr>
              <w:t>bedingungen</w:t>
            </w:r>
            <w:r w:rsidR="007321F9">
              <w:rPr>
                <w:rFonts w:ascii="Arial" w:hAnsi="Arial" w:cs="Arial"/>
                <w:sz w:val="16"/>
                <w:szCs w:val="16"/>
                <w:lang w:val="de-DE"/>
              </w:rPr>
              <w:t xml:space="preserve"> </w:t>
            </w:r>
            <w:r w:rsidRPr="00C86BCC">
              <w:rPr>
                <w:rFonts w:ascii="Arial" w:hAnsi="Arial" w:cs="Arial"/>
                <w:sz w:val="16"/>
                <w:szCs w:val="16"/>
                <w:lang w:val="de-DE"/>
              </w:rPr>
              <w:t>sind</w:t>
            </w:r>
            <w:r w:rsidR="001521D6" w:rsidRPr="00C86BCC">
              <w:rPr>
                <w:rFonts w:ascii="Arial" w:hAnsi="Arial" w:cs="Arial"/>
                <w:sz w:val="16"/>
                <w:szCs w:val="16"/>
                <w:lang w:val="de-DE"/>
              </w:rPr>
              <w:t xml:space="preserve"> </w:t>
            </w:r>
            <w:r w:rsidRPr="000C7A52">
              <w:rPr>
                <w:rFonts w:ascii="Arial" w:hAnsi="Arial" w:cs="Arial"/>
                <w:sz w:val="16"/>
                <w:szCs w:val="16"/>
                <w:lang w:val="de-DE"/>
              </w:rPr>
              <w:t xml:space="preserve">unter </w:t>
            </w:r>
            <w:r w:rsidR="007321F9" w:rsidRPr="007321F9">
              <w:rPr>
                <w:rFonts w:ascii="Arial" w:hAnsi="Arial" w:cs="Arial"/>
                <w:sz w:val="16"/>
                <w:szCs w:val="16"/>
                <w:lang w:val="de-DE"/>
              </w:rPr>
              <w:t>https://www.synbiotic.com/</w:t>
            </w:r>
            <w:r w:rsidR="007321F9">
              <w:rPr>
                <w:rFonts w:ascii="Arial" w:hAnsi="Arial" w:cs="Arial"/>
                <w:sz w:val="16"/>
                <w:szCs w:val="16"/>
                <w:lang w:val="de-DE"/>
              </w:rPr>
              <w:t xml:space="preserve"> im Bereich Investor Relations</w:t>
            </w:r>
            <w:r w:rsidR="007321F9" w:rsidRPr="007321F9">
              <w:rPr>
                <w:rFonts w:ascii="Arial" w:hAnsi="Arial" w:cs="Arial"/>
                <w:sz w:val="16"/>
                <w:szCs w:val="16"/>
                <w:lang w:val="de-DE"/>
              </w:rPr>
              <w:t xml:space="preserve"> </w:t>
            </w:r>
            <w:r w:rsidRPr="00C86BCC">
              <w:rPr>
                <w:rFonts w:ascii="Arial" w:hAnsi="Arial" w:cs="Arial"/>
                <w:sz w:val="16"/>
                <w:szCs w:val="16"/>
                <w:lang w:val="de-DE"/>
              </w:rPr>
              <w:t>abrufbar.</w:t>
            </w:r>
            <w:r w:rsidR="005828E8" w:rsidRPr="005828E8">
              <w:rPr>
                <w:lang w:val="de-DE"/>
              </w:rPr>
              <w:t xml:space="preserve"> </w:t>
            </w:r>
            <w:r w:rsidR="005828E8" w:rsidRPr="005828E8">
              <w:rPr>
                <w:rFonts w:ascii="Arial" w:hAnsi="Arial" w:cs="Arial"/>
                <w:sz w:val="16"/>
                <w:szCs w:val="16"/>
                <w:lang w:val="de-DE"/>
              </w:rPr>
              <w:t>Bevor Sie eine Entscheidung über den Erwerb des Produkts treffen, sollten Sie die Wandelanleihebedingungen zu dem Produkt sorgfältig gelesen haben und bei Ihrer Entscheidung berücksichtigen</w:t>
            </w:r>
            <w:r w:rsidR="005828E8">
              <w:rPr>
                <w:rFonts w:ascii="Arial" w:hAnsi="Arial" w:cs="Arial"/>
                <w:sz w:val="16"/>
                <w:szCs w:val="16"/>
                <w:lang w:val="de-DE"/>
              </w:rPr>
              <w:t>.</w:t>
            </w:r>
          </w:p>
        </w:tc>
      </w:tr>
    </w:tbl>
    <w:p w14:paraId="63E5F55D" w14:textId="3EEA8C15" w:rsidR="00BE5338" w:rsidRPr="00F96152" w:rsidRDefault="00BE5338" w:rsidP="00AD7BB8">
      <w:pPr>
        <w:spacing w:after="0"/>
        <w:jc w:val="both"/>
        <w:rPr>
          <w:rFonts w:ascii="Arial" w:hAnsi="Arial" w:cs="Arial"/>
          <w:sz w:val="2"/>
          <w:szCs w:val="2"/>
          <w:lang w:val="de-DE"/>
        </w:rPr>
      </w:pPr>
    </w:p>
    <w:sectPr w:rsidR="00BE5338" w:rsidRPr="00F96152" w:rsidSect="00AD7BB8">
      <w:headerReference w:type="even" r:id="rId8"/>
      <w:headerReference w:type="default" r:id="rId9"/>
      <w:footerReference w:type="even" r:id="rId10"/>
      <w:footerReference w:type="default" r:id="rId11"/>
      <w:headerReference w:type="first" r:id="rId12"/>
      <w:footerReference w:type="first" r:id="rId13"/>
      <w:type w:val="continuous"/>
      <w:pgSz w:w="12240" w:h="15840"/>
      <w:pgMar w:top="284"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3205" w14:textId="77777777" w:rsidR="00DF5934" w:rsidRDefault="00DF5934" w:rsidP="005B531E">
      <w:pPr>
        <w:spacing w:after="0" w:line="240" w:lineRule="auto"/>
      </w:pPr>
      <w:r>
        <w:separator/>
      </w:r>
    </w:p>
  </w:endnote>
  <w:endnote w:type="continuationSeparator" w:id="0">
    <w:p w14:paraId="0A700452" w14:textId="77777777" w:rsidR="00DF5934" w:rsidRDefault="00DF5934" w:rsidP="005B531E">
      <w:pPr>
        <w:spacing w:after="0" w:line="240" w:lineRule="auto"/>
      </w:pPr>
      <w:r>
        <w:continuationSeparator/>
      </w:r>
    </w:p>
  </w:endnote>
  <w:endnote w:type="continuationNotice" w:id="1">
    <w:p w14:paraId="0A5DC6D8" w14:textId="77777777" w:rsidR="00DF5934" w:rsidRDefault="00DF5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F8F7" w14:textId="77777777" w:rsidR="0064609D" w:rsidRDefault="006460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9EF6" w14:textId="77777777" w:rsidR="0064609D" w:rsidRDefault="006460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C850" w14:textId="77777777" w:rsidR="0064609D" w:rsidRDefault="006460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D758" w14:textId="77777777" w:rsidR="00DF5934" w:rsidRDefault="00DF5934" w:rsidP="005B531E">
      <w:pPr>
        <w:spacing w:after="0" w:line="240" w:lineRule="auto"/>
      </w:pPr>
      <w:r>
        <w:separator/>
      </w:r>
    </w:p>
  </w:footnote>
  <w:footnote w:type="continuationSeparator" w:id="0">
    <w:p w14:paraId="2D5CEC1D" w14:textId="77777777" w:rsidR="00DF5934" w:rsidRDefault="00DF5934" w:rsidP="005B531E">
      <w:pPr>
        <w:spacing w:after="0" w:line="240" w:lineRule="auto"/>
      </w:pPr>
      <w:r>
        <w:continuationSeparator/>
      </w:r>
    </w:p>
  </w:footnote>
  <w:footnote w:type="continuationNotice" w:id="1">
    <w:p w14:paraId="481D5FE3" w14:textId="77777777" w:rsidR="00DF5934" w:rsidRDefault="00DF5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BD8F" w14:textId="77777777" w:rsidR="0064609D" w:rsidRDefault="006460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DE48" w14:textId="77777777" w:rsidR="0064609D" w:rsidRDefault="006460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D5D0" w14:textId="77777777" w:rsidR="0064609D" w:rsidRDefault="006460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F3F78"/>
    <w:multiLevelType w:val="hybridMultilevel"/>
    <w:tmpl w:val="8A3E0A58"/>
    <w:lvl w:ilvl="0" w:tplc="E63C40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617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B531E"/>
    <w:rsid w:val="000026C8"/>
    <w:rsid w:val="00006EC0"/>
    <w:rsid w:val="000100CD"/>
    <w:rsid w:val="0001405A"/>
    <w:rsid w:val="00014347"/>
    <w:rsid w:val="00014F20"/>
    <w:rsid w:val="0001596A"/>
    <w:rsid w:val="000226CF"/>
    <w:rsid w:val="000240CD"/>
    <w:rsid w:val="0002531F"/>
    <w:rsid w:val="00031F20"/>
    <w:rsid w:val="00035672"/>
    <w:rsid w:val="00035B28"/>
    <w:rsid w:val="0003709B"/>
    <w:rsid w:val="000446E2"/>
    <w:rsid w:val="00044CB5"/>
    <w:rsid w:val="0004651F"/>
    <w:rsid w:val="00050554"/>
    <w:rsid w:val="000505BD"/>
    <w:rsid w:val="00051FCE"/>
    <w:rsid w:val="000605DE"/>
    <w:rsid w:val="00063221"/>
    <w:rsid w:val="0006665F"/>
    <w:rsid w:val="0007131C"/>
    <w:rsid w:val="000728E1"/>
    <w:rsid w:val="00074480"/>
    <w:rsid w:val="00075406"/>
    <w:rsid w:val="00077C47"/>
    <w:rsid w:val="000804BF"/>
    <w:rsid w:val="0008063D"/>
    <w:rsid w:val="0008232B"/>
    <w:rsid w:val="00093196"/>
    <w:rsid w:val="00095D24"/>
    <w:rsid w:val="0009671B"/>
    <w:rsid w:val="00096EE8"/>
    <w:rsid w:val="000A36E0"/>
    <w:rsid w:val="000A7366"/>
    <w:rsid w:val="000B0BE1"/>
    <w:rsid w:val="000B5406"/>
    <w:rsid w:val="000B7F57"/>
    <w:rsid w:val="000C0754"/>
    <w:rsid w:val="000C32C3"/>
    <w:rsid w:val="000C7A52"/>
    <w:rsid w:val="000D1205"/>
    <w:rsid w:val="000D32CD"/>
    <w:rsid w:val="000D5000"/>
    <w:rsid w:val="000D73A7"/>
    <w:rsid w:val="000E1842"/>
    <w:rsid w:val="000E2AD8"/>
    <w:rsid w:val="000E4002"/>
    <w:rsid w:val="000E65FC"/>
    <w:rsid w:val="000E6BBA"/>
    <w:rsid w:val="000E7920"/>
    <w:rsid w:val="000F0A9C"/>
    <w:rsid w:val="000F36CF"/>
    <w:rsid w:val="001010F3"/>
    <w:rsid w:val="00103DD0"/>
    <w:rsid w:val="00107265"/>
    <w:rsid w:val="00107B29"/>
    <w:rsid w:val="00111838"/>
    <w:rsid w:val="00111E0F"/>
    <w:rsid w:val="001156C2"/>
    <w:rsid w:val="00132810"/>
    <w:rsid w:val="00145233"/>
    <w:rsid w:val="001516D3"/>
    <w:rsid w:val="00151AE8"/>
    <w:rsid w:val="001521D6"/>
    <w:rsid w:val="001527D5"/>
    <w:rsid w:val="00152BD0"/>
    <w:rsid w:val="00155F89"/>
    <w:rsid w:val="00156D12"/>
    <w:rsid w:val="00157549"/>
    <w:rsid w:val="001609D2"/>
    <w:rsid w:val="00162C30"/>
    <w:rsid w:val="0016310C"/>
    <w:rsid w:val="0016399C"/>
    <w:rsid w:val="001729E8"/>
    <w:rsid w:val="00172F7D"/>
    <w:rsid w:val="001830D4"/>
    <w:rsid w:val="0018668E"/>
    <w:rsid w:val="00186F31"/>
    <w:rsid w:val="00193D1B"/>
    <w:rsid w:val="00196913"/>
    <w:rsid w:val="001A213C"/>
    <w:rsid w:val="001A3192"/>
    <w:rsid w:val="001A59DC"/>
    <w:rsid w:val="001B2D6D"/>
    <w:rsid w:val="001B3953"/>
    <w:rsid w:val="001B4A8C"/>
    <w:rsid w:val="001B7BF6"/>
    <w:rsid w:val="001D49E7"/>
    <w:rsid w:val="001D5A62"/>
    <w:rsid w:val="001E2F3C"/>
    <w:rsid w:val="001E5F97"/>
    <w:rsid w:val="00201461"/>
    <w:rsid w:val="0020445A"/>
    <w:rsid w:val="00212053"/>
    <w:rsid w:val="0021295F"/>
    <w:rsid w:val="00214BEE"/>
    <w:rsid w:val="0021549E"/>
    <w:rsid w:val="00216837"/>
    <w:rsid w:val="00216C02"/>
    <w:rsid w:val="00222588"/>
    <w:rsid w:val="00222BDD"/>
    <w:rsid w:val="002242E8"/>
    <w:rsid w:val="002307CE"/>
    <w:rsid w:val="00232E81"/>
    <w:rsid w:val="00237151"/>
    <w:rsid w:val="00242F79"/>
    <w:rsid w:val="002446FC"/>
    <w:rsid w:val="0024790E"/>
    <w:rsid w:val="00256CAC"/>
    <w:rsid w:val="00271863"/>
    <w:rsid w:val="00276E30"/>
    <w:rsid w:val="00280B49"/>
    <w:rsid w:val="00280DB2"/>
    <w:rsid w:val="00281C1D"/>
    <w:rsid w:val="00282FB5"/>
    <w:rsid w:val="00283F05"/>
    <w:rsid w:val="00292B58"/>
    <w:rsid w:val="00292C64"/>
    <w:rsid w:val="00293238"/>
    <w:rsid w:val="00297345"/>
    <w:rsid w:val="002A39E0"/>
    <w:rsid w:val="002C4C35"/>
    <w:rsid w:val="002C62D8"/>
    <w:rsid w:val="002D5515"/>
    <w:rsid w:val="002D6D0B"/>
    <w:rsid w:val="002D7004"/>
    <w:rsid w:val="002E03E4"/>
    <w:rsid w:val="002E3C94"/>
    <w:rsid w:val="002F3147"/>
    <w:rsid w:val="002F5769"/>
    <w:rsid w:val="002F774E"/>
    <w:rsid w:val="00311B98"/>
    <w:rsid w:val="00312F3B"/>
    <w:rsid w:val="0031513C"/>
    <w:rsid w:val="0031593E"/>
    <w:rsid w:val="00315F07"/>
    <w:rsid w:val="0032727F"/>
    <w:rsid w:val="00333C4B"/>
    <w:rsid w:val="003351A1"/>
    <w:rsid w:val="00340BC9"/>
    <w:rsid w:val="00340E5F"/>
    <w:rsid w:val="0034116D"/>
    <w:rsid w:val="003474BC"/>
    <w:rsid w:val="00352779"/>
    <w:rsid w:val="0035339C"/>
    <w:rsid w:val="00364788"/>
    <w:rsid w:val="00377736"/>
    <w:rsid w:val="0038087C"/>
    <w:rsid w:val="003912EA"/>
    <w:rsid w:val="00394279"/>
    <w:rsid w:val="00394FFF"/>
    <w:rsid w:val="003950EC"/>
    <w:rsid w:val="0039594A"/>
    <w:rsid w:val="00396703"/>
    <w:rsid w:val="0039750F"/>
    <w:rsid w:val="003A0C9D"/>
    <w:rsid w:val="003A1FC7"/>
    <w:rsid w:val="003A2596"/>
    <w:rsid w:val="003B10C4"/>
    <w:rsid w:val="003C2C1D"/>
    <w:rsid w:val="003C409A"/>
    <w:rsid w:val="003D2E5C"/>
    <w:rsid w:val="003E0364"/>
    <w:rsid w:val="003E0E3B"/>
    <w:rsid w:val="003E264F"/>
    <w:rsid w:val="003E7D38"/>
    <w:rsid w:val="003F001A"/>
    <w:rsid w:val="003F1291"/>
    <w:rsid w:val="003F1598"/>
    <w:rsid w:val="003F2F7A"/>
    <w:rsid w:val="003F4259"/>
    <w:rsid w:val="0040037B"/>
    <w:rsid w:val="004057E7"/>
    <w:rsid w:val="00406100"/>
    <w:rsid w:val="004068AD"/>
    <w:rsid w:val="00410704"/>
    <w:rsid w:val="00410845"/>
    <w:rsid w:val="00410ED2"/>
    <w:rsid w:val="00413837"/>
    <w:rsid w:val="00420C53"/>
    <w:rsid w:val="004302EC"/>
    <w:rsid w:val="004306CF"/>
    <w:rsid w:val="00433C78"/>
    <w:rsid w:val="0043621F"/>
    <w:rsid w:val="00437CC5"/>
    <w:rsid w:val="00441741"/>
    <w:rsid w:val="00442DDE"/>
    <w:rsid w:val="0044447D"/>
    <w:rsid w:val="00451553"/>
    <w:rsid w:val="004543BA"/>
    <w:rsid w:val="00455405"/>
    <w:rsid w:val="00460E0A"/>
    <w:rsid w:val="004617C8"/>
    <w:rsid w:val="00462371"/>
    <w:rsid w:val="00462503"/>
    <w:rsid w:val="00466032"/>
    <w:rsid w:val="00467565"/>
    <w:rsid w:val="004735FD"/>
    <w:rsid w:val="00475952"/>
    <w:rsid w:val="0048064F"/>
    <w:rsid w:val="00481E16"/>
    <w:rsid w:val="00484B96"/>
    <w:rsid w:val="00487700"/>
    <w:rsid w:val="00487F7C"/>
    <w:rsid w:val="00490386"/>
    <w:rsid w:val="004938C4"/>
    <w:rsid w:val="00494B66"/>
    <w:rsid w:val="004A55C1"/>
    <w:rsid w:val="004B4505"/>
    <w:rsid w:val="004B48A4"/>
    <w:rsid w:val="004B4D46"/>
    <w:rsid w:val="004B6996"/>
    <w:rsid w:val="004B7559"/>
    <w:rsid w:val="004C0334"/>
    <w:rsid w:val="004C405B"/>
    <w:rsid w:val="004C5613"/>
    <w:rsid w:val="004D1C71"/>
    <w:rsid w:val="004D287C"/>
    <w:rsid w:val="004D46A5"/>
    <w:rsid w:val="004D4CA3"/>
    <w:rsid w:val="004D798D"/>
    <w:rsid w:val="004D7FA1"/>
    <w:rsid w:val="005029B5"/>
    <w:rsid w:val="005125A6"/>
    <w:rsid w:val="0051387D"/>
    <w:rsid w:val="00513C36"/>
    <w:rsid w:val="00517F7D"/>
    <w:rsid w:val="00521BBD"/>
    <w:rsid w:val="00521DE5"/>
    <w:rsid w:val="0052578B"/>
    <w:rsid w:val="00525DFF"/>
    <w:rsid w:val="00536E6F"/>
    <w:rsid w:val="0054306A"/>
    <w:rsid w:val="0054322C"/>
    <w:rsid w:val="0054363C"/>
    <w:rsid w:val="00547637"/>
    <w:rsid w:val="005519A4"/>
    <w:rsid w:val="00554330"/>
    <w:rsid w:val="00557A34"/>
    <w:rsid w:val="005610F6"/>
    <w:rsid w:val="00563E1D"/>
    <w:rsid w:val="005824AB"/>
    <w:rsid w:val="005828E8"/>
    <w:rsid w:val="005861EE"/>
    <w:rsid w:val="00591D9C"/>
    <w:rsid w:val="00595AAE"/>
    <w:rsid w:val="005A09CF"/>
    <w:rsid w:val="005A30E3"/>
    <w:rsid w:val="005A513B"/>
    <w:rsid w:val="005A7C1B"/>
    <w:rsid w:val="005B47BA"/>
    <w:rsid w:val="005B531E"/>
    <w:rsid w:val="005B64E7"/>
    <w:rsid w:val="005C029D"/>
    <w:rsid w:val="005C22DE"/>
    <w:rsid w:val="005C36B0"/>
    <w:rsid w:val="005C3E7B"/>
    <w:rsid w:val="005C56AA"/>
    <w:rsid w:val="005C66F6"/>
    <w:rsid w:val="005D1C8F"/>
    <w:rsid w:val="005D1FCF"/>
    <w:rsid w:val="005D4076"/>
    <w:rsid w:val="005D45D4"/>
    <w:rsid w:val="005D5BFA"/>
    <w:rsid w:val="005D7E53"/>
    <w:rsid w:val="005D7F1A"/>
    <w:rsid w:val="005E04A3"/>
    <w:rsid w:val="005E139F"/>
    <w:rsid w:val="005E1790"/>
    <w:rsid w:val="005E417A"/>
    <w:rsid w:val="005E5EB5"/>
    <w:rsid w:val="005E6427"/>
    <w:rsid w:val="005F065D"/>
    <w:rsid w:val="005F22B7"/>
    <w:rsid w:val="005F2670"/>
    <w:rsid w:val="0060039F"/>
    <w:rsid w:val="0061134C"/>
    <w:rsid w:val="00611E58"/>
    <w:rsid w:val="00614BB7"/>
    <w:rsid w:val="00615E70"/>
    <w:rsid w:val="00616A5F"/>
    <w:rsid w:val="00617059"/>
    <w:rsid w:val="00624D19"/>
    <w:rsid w:val="006260AC"/>
    <w:rsid w:val="00626FF3"/>
    <w:rsid w:val="00631C7C"/>
    <w:rsid w:val="006439B7"/>
    <w:rsid w:val="0064449C"/>
    <w:rsid w:val="00644B33"/>
    <w:rsid w:val="00645333"/>
    <w:rsid w:val="0064609D"/>
    <w:rsid w:val="00657913"/>
    <w:rsid w:val="006623A3"/>
    <w:rsid w:val="006661EA"/>
    <w:rsid w:val="0067269D"/>
    <w:rsid w:val="006739FA"/>
    <w:rsid w:val="0067681F"/>
    <w:rsid w:val="00682187"/>
    <w:rsid w:val="00692646"/>
    <w:rsid w:val="00695A92"/>
    <w:rsid w:val="006970AB"/>
    <w:rsid w:val="006975EF"/>
    <w:rsid w:val="006B2DA3"/>
    <w:rsid w:val="006C0B73"/>
    <w:rsid w:val="006C153A"/>
    <w:rsid w:val="006C22BA"/>
    <w:rsid w:val="006C27D8"/>
    <w:rsid w:val="006C2C86"/>
    <w:rsid w:val="006C7522"/>
    <w:rsid w:val="006D4FB1"/>
    <w:rsid w:val="006D5448"/>
    <w:rsid w:val="006D78EB"/>
    <w:rsid w:val="006D7B64"/>
    <w:rsid w:val="006E1EF7"/>
    <w:rsid w:val="006E5660"/>
    <w:rsid w:val="006E67BE"/>
    <w:rsid w:val="006F0EC0"/>
    <w:rsid w:val="006F2A85"/>
    <w:rsid w:val="006F39D2"/>
    <w:rsid w:val="006F3DDF"/>
    <w:rsid w:val="006F5373"/>
    <w:rsid w:val="006F63C3"/>
    <w:rsid w:val="006F663F"/>
    <w:rsid w:val="006F7417"/>
    <w:rsid w:val="006F7781"/>
    <w:rsid w:val="006F7948"/>
    <w:rsid w:val="007039CF"/>
    <w:rsid w:val="00703EB7"/>
    <w:rsid w:val="00707803"/>
    <w:rsid w:val="00715522"/>
    <w:rsid w:val="00720E1E"/>
    <w:rsid w:val="00724102"/>
    <w:rsid w:val="007321F9"/>
    <w:rsid w:val="00745CE3"/>
    <w:rsid w:val="00746D06"/>
    <w:rsid w:val="00747BE4"/>
    <w:rsid w:val="00750F43"/>
    <w:rsid w:val="00757473"/>
    <w:rsid w:val="0077099A"/>
    <w:rsid w:val="0079778F"/>
    <w:rsid w:val="007A323F"/>
    <w:rsid w:val="007A50C5"/>
    <w:rsid w:val="007A5942"/>
    <w:rsid w:val="007A67FE"/>
    <w:rsid w:val="007A7B42"/>
    <w:rsid w:val="007B3606"/>
    <w:rsid w:val="007B4050"/>
    <w:rsid w:val="007C0790"/>
    <w:rsid w:val="007C2122"/>
    <w:rsid w:val="007C30F5"/>
    <w:rsid w:val="007D2B09"/>
    <w:rsid w:val="007E3422"/>
    <w:rsid w:val="007F545B"/>
    <w:rsid w:val="008006D3"/>
    <w:rsid w:val="008034B8"/>
    <w:rsid w:val="008101D7"/>
    <w:rsid w:val="008103EE"/>
    <w:rsid w:val="00830F5D"/>
    <w:rsid w:val="00832B4C"/>
    <w:rsid w:val="00836B69"/>
    <w:rsid w:val="008453FF"/>
    <w:rsid w:val="008456E3"/>
    <w:rsid w:val="00852183"/>
    <w:rsid w:val="0085274B"/>
    <w:rsid w:val="0085424A"/>
    <w:rsid w:val="00857FF7"/>
    <w:rsid w:val="00863A70"/>
    <w:rsid w:val="00864E47"/>
    <w:rsid w:val="0086530F"/>
    <w:rsid w:val="00867A61"/>
    <w:rsid w:val="008731ED"/>
    <w:rsid w:val="0087345B"/>
    <w:rsid w:val="00874A24"/>
    <w:rsid w:val="008765FF"/>
    <w:rsid w:val="0088510A"/>
    <w:rsid w:val="008860F6"/>
    <w:rsid w:val="00887AF4"/>
    <w:rsid w:val="008979CF"/>
    <w:rsid w:val="008A4680"/>
    <w:rsid w:val="008B32DE"/>
    <w:rsid w:val="008B4D80"/>
    <w:rsid w:val="008B5080"/>
    <w:rsid w:val="008B7BB8"/>
    <w:rsid w:val="008C30CA"/>
    <w:rsid w:val="008C7E8C"/>
    <w:rsid w:val="008D12B9"/>
    <w:rsid w:val="008D2C08"/>
    <w:rsid w:val="008D7F0E"/>
    <w:rsid w:val="008E0F23"/>
    <w:rsid w:val="008E1DBB"/>
    <w:rsid w:val="008E7D1B"/>
    <w:rsid w:val="008F1234"/>
    <w:rsid w:val="008F5C8D"/>
    <w:rsid w:val="009030E4"/>
    <w:rsid w:val="00903F1F"/>
    <w:rsid w:val="009044C5"/>
    <w:rsid w:val="00911CC4"/>
    <w:rsid w:val="00915722"/>
    <w:rsid w:val="009226CC"/>
    <w:rsid w:val="00925F39"/>
    <w:rsid w:val="009266DA"/>
    <w:rsid w:val="009274EE"/>
    <w:rsid w:val="00931282"/>
    <w:rsid w:val="00934E3C"/>
    <w:rsid w:val="0094085C"/>
    <w:rsid w:val="00951711"/>
    <w:rsid w:val="009528C0"/>
    <w:rsid w:val="0095725F"/>
    <w:rsid w:val="00957E51"/>
    <w:rsid w:val="00964ED0"/>
    <w:rsid w:val="00970A7C"/>
    <w:rsid w:val="00971D4A"/>
    <w:rsid w:val="00972C5B"/>
    <w:rsid w:val="009741ED"/>
    <w:rsid w:val="009811F0"/>
    <w:rsid w:val="00981C09"/>
    <w:rsid w:val="00985433"/>
    <w:rsid w:val="00985591"/>
    <w:rsid w:val="00992509"/>
    <w:rsid w:val="00992B54"/>
    <w:rsid w:val="00995276"/>
    <w:rsid w:val="009A38F1"/>
    <w:rsid w:val="009A3DB8"/>
    <w:rsid w:val="009A5010"/>
    <w:rsid w:val="009A70B4"/>
    <w:rsid w:val="009B0633"/>
    <w:rsid w:val="009B6375"/>
    <w:rsid w:val="009B693F"/>
    <w:rsid w:val="009C22E5"/>
    <w:rsid w:val="009C3501"/>
    <w:rsid w:val="009D01E5"/>
    <w:rsid w:val="009D0E52"/>
    <w:rsid w:val="009D341E"/>
    <w:rsid w:val="009D74D1"/>
    <w:rsid w:val="009E235B"/>
    <w:rsid w:val="009E4A62"/>
    <w:rsid w:val="009E64E5"/>
    <w:rsid w:val="009F0BE5"/>
    <w:rsid w:val="009F7704"/>
    <w:rsid w:val="00A01817"/>
    <w:rsid w:val="00A01A1A"/>
    <w:rsid w:val="00A0230B"/>
    <w:rsid w:val="00A04F51"/>
    <w:rsid w:val="00A054FD"/>
    <w:rsid w:val="00A10991"/>
    <w:rsid w:val="00A10AAF"/>
    <w:rsid w:val="00A13B82"/>
    <w:rsid w:val="00A2269E"/>
    <w:rsid w:val="00A34E75"/>
    <w:rsid w:val="00A354D1"/>
    <w:rsid w:val="00A36841"/>
    <w:rsid w:val="00A4045B"/>
    <w:rsid w:val="00A43953"/>
    <w:rsid w:val="00A45F5A"/>
    <w:rsid w:val="00A464FA"/>
    <w:rsid w:val="00A56545"/>
    <w:rsid w:val="00A57BE6"/>
    <w:rsid w:val="00A60D6B"/>
    <w:rsid w:val="00A65010"/>
    <w:rsid w:val="00A712C2"/>
    <w:rsid w:val="00A747CB"/>
    <w:rsid w:val="00A75DD3"/>
    <w:rsid w:val="00A76041"/>
    <w:rsid w:val="00A838D7"/>
    <w:rsid w:val="00A846ED"/>
    <w:rsid w:val="00A87178"/>
    <w:rsid w:val="00A91D5C"/>
    <w:rsid w:val="00A9467F"/>
    <w:rsid w:val="00A9477C"/>
    <w:rsid w:val="00A94BA1"/>
    <w:rsid w:val="00AB141C"/>
    <w:rsid w:val="00AB535D"/>
    <w:rsid w:val="00AC393D"/>
    <w:rsid w:val="00AC3DAF"/>
    <w:rsid w:val="00AC715F"/>
    <w:rsid w:val="00AD0A6B"/>
    <w:rsid w:val="00AD1B75"/>
    <w:rsid w:val="00AD1E6A"/>
    <w:rsid w:val="00AD6A7F"/>
    <w:rsid w:val="00AD7BB8"/>
    <w:rsid w:val="00AE0CEC"/>
    <w:rsid w:val="00AE4E99"/>
    <w:rsid w:val="00AF2C2A"/>
    <w:rsid w:val="00AF31DD"/>
    <w:rsid w:val="00B00244"/>
    <w:rsid w:val="00B05A0E"/>
    <w:rsid w:val="00B075C8"/>
    <w:rsid w:val="00B119B4"/>
    <w:rsid w:val="00B11B18"/>
    <w:rsid w:val="00B11FFC"/>
    <w:rsid w:val="00B13E86"/>
    <w:rsid w:val="00B16D8A"/>
    <w:rsid w:val="00B30D1F"/>
    <w:rsid w:val="00B3154A"/>
    <w:rsid w:val="00B32C8C"/>
    <w:rsid w:val="00B35A49"/>
    <w:rsid w:val="00B36936"/>
    <w:rsid w:val="00B40288"/>
    <w:rsid w:val="00B44F09"/>
    <w:rsid w:val="00B46E80"/>
    <w:rsid w:val="00B47379"/>
    <w:rsid w:val="00B47F2B"/>
    <w:rsid w:val="00B516BF"/>
    <w:rsid w:val="00B536DB"/>
    <w:rsid w:val="00B56A71"/>
    <w:rsid w:val="00B57EF2"/>
    <w:rsid w:val="00B64DCC"/>
    <w:rsid w:val="00B66247"/>
    <w:rsid w:val="00B66594"/>
    <w:rsid w:val="00B66EFD"/>
    <w:rsid w:val="00B71F53"/>
    <w:rsid w:val="00B72493"/>
    <w:rsid w:val="00B74C42"/>
    <w:rsid w:val="00B76EEE"/>
    <w:rsid w:val="00B8303F"/>
    <w:rsid w:val="00B83D83"/>
    <w:rsid w:val="00B84FA5"/>
    <w:rsid w:val="00B85F33"/>
    <w:rsid w:val="00B929A3"/>
    <w:rsid w:val="00BA000A"/>
    <w:rsid w:val="00BA12F9"/>
    <w:rsid w:val="00BA2A31"/>
    <w:rsid w:val="00BA576D"/>
    <w:rsid w:val="00BB0EE0"/>
    <w:rsid w:val="00BB1DB7"/>
    <w:rsid w:val="00BB25B6"/>
    <w:rsid w:val="00BB449A"/>
    <w:rsid w:val="00BB49A1"/>
    <w:rsid w:val="00BB52B9"/>
    <w:rsid w:val="00BB763C"/>
    <w:rsid w:val="00BC5EBB"/>
    <w:rsid w:val="00BC7473"/>
    <w:rsid w:val="00BD6D92"/>
    <w:rsid w:val="00BE1844"/>
    <w:rsid w:val="00BE3CBA"/>
    <w:rsid w:val="00BE5338"/>
    <w:rsid w:val="00BF4E14"/>
    <w:rsid w:val="00C009CD"/>
    <w:rsid w:val="00C11C59"/>
    <w:rsid w:val="00C11E8F"/>
    <w:rsid w:val="00C1304D"/>
    <w:rsid w:val="00C172B9"/>
    <w:rsid w:val="00C22948"/>
    <w:rsid w:val="00C23B81"/>
    <w:rsid w:val="00C24639"/>
    <w:rsid w:val="00C24721"/>
    <w:rsid w:val="00C26947"/>
    <w:rsid w:val="00C3031D"/>
    <w:rsid w:val="00C316B6"/>
    <w:rsid w:val="00C32A72"/>
    <w:rsid w:val="00C4027F"/>
    <w:rsid w:val="00C43B87"/>
    <w:rsid w:val="00C47209"/>
    <w:rsid w:val="00C522F1"/>
    <w:rsid w:val="00C5231B"/>
    <w:rsid w:val="00C52CB7"/>
    <w:rsid w:val="00C57021"/>
    <w:rsid w:val="00C62C20"/>
    <w:rsid w:val="00C65A34"/>
    <w:rsid w:val="00C67C27"/>
    <w:rsid w:val="00C67F71"/>
    <w:rsid w:val="00C7187C"/>
    <w:rsid w:val="00C72B52"/>
    <w:rsid w:val="00C73DBC"/>
    <w:rsid w:val="00C76553"/>
    <w:rsid w:val="00C76554"/>
    <w:rsid w:val="00C77B04"/>
    <w:rsid w:val="00C80F4B"/>
    <w:rsid w:val="00C8606C"/>
    <w:rsid w:val="00C86BCC"/>
    <w:rsid w:val="00CB0644"/>
    <w:rsid w:val="00CB4315"/>
    <w:rsid w:val="00CC3B1C"/>
    <w:rsid w:val="00CC5CB9"/>
    <w:rsid w:val="00CD1C7E"/>
    <w:rsid w:val="00CD2C63"/>
    <w:rsid w:val="00CE15CD"/>
    <w:rsid w:val="00CE1933"/>
    <w:rsid w:val="00CE45EA"/>
    <w:rsid w:val="00CE6F69"/>
    <w:rsid w:val="00CE7A0E"/>
    <w:rsid w:val="00CF2900"/>
    <w:rsid w:val="00D00AD7"/>
    <w:rsid w:val="00D0183E"/>
    <w:rsid w:val="00D03581"/>
    <w:rsid w:val="00D075A5"/>
    <w:rsid w:val="00D10A14"/>
    <w:rsid w:val="00D11B6D"/>
    <w:rsid w:val="00D12C0B"/>
    <w:rsid w:val="00D13361"/>
    <w:rsid w:val="00D200AB"/>
    <w:rsid w:val="00D230C6"/>
    <w:rsid w:val="00D232EC"/>
    <w:rsid w:val="00D235BB"/>
    <w:rsid w:val="00D25865"/>
    <w:rsid w:val="00D326D2"/>
    <w:rsid w:val="00D33560"/>
    <w:rsid w:val="00D3497C"/>
    <w:rsid w:val="00D363ED"/>
    <w:rsid w:val="00D373BB"/>
    <w:rsid w:val="00D42FC2"/>
    <w:rsid w:val="00D43547"/>
    <w:rsid w:val="00D50E21"/>
    <w:rsid w:val="00D52C54"/>
    <w:rsid w:val="00D534D5"/>
    <w:rsid w:val="00D65F41"/>
    <w:rsid w:val="00D66DD3"/>
    <w:rsid w:val="00D7041D"/>
    <w:rsid w:val="00D76BB4"/>
    <w:rsid w:val="00D836DA"/>
    <w:rsid w:val="00D83B8F"/>
    <w:rsid w:val="00D91507"/>
    <w:rsid w:val="00D9390D"/>
    <w:rsid w:val="00D94B32"/>
    <w:rsid w:val="00DA05B7"/>
    <w:rsid w:val="00DA2186"/>
    <w:rsid w:val="00DA44D9"/>
    <w:rsid w:val="00DB386F"/>
    <w:rsid w:val="00DC1F75"/>
    <w:rsid w:val="00DC4D9D"/>
    <w:rsid w:val="00DC5D9D"/>
    <w:rsid w:val="00DD12AF"/>
    <w:rsid w:val="00DD25FB"/>
    <w:rsid w:val="00DE01D3"/>
    <w:rsid w:val="00DE0F64"/>
    <w:rsid w:val="00DE1E7F"/>
    <w:rsid w:val="00DE5AC1"/>
    <w:rsid w:val="00DE7331"/>
    <w:rsid w:val="00DF4666"/>
    <w:rsid w:val="00DF5934"/>
    <w:rsid w:val="00DF7926"/>
    <w:rsid w:val="00DF7CCD"/>
    <w:rsid w:val="00E00A11"/>
    <w:rsid w:val="00E00FC7"/>
    <w:rsid w:val="00E02310"/>
    <w:rsid w:val="00E04250"/>
    <w:rsid w:val="00E12654"/>
    <w:rsid w:val="00E13D09"/>
    <w:rsid w:val="00E16415"/>
    <w:rsid w:val="00E245A9"/>
    <w:rsid w:val="00E24F17"/>
    <w:rsid w:val="00E26FE5"/>
    <w:rsid w:val="00E33555"/>
    <w:rsid w:val="00E376B3"/>
    <w:rsid w:val="00E44424"/>
    <w:rsid w:val="00E55C50"/>
    <w:rsid w:val="00E61CB8"/>
    <w:rsid w:val="00E63059"/>
    <w:rsid w:val="00E672B9"/>
    <w:rsid w:val="00E83366"/>
    <w:rsid w:val="00E864EA"/>
    <w:rsid w:val="00E86C61"/>
    <w:rsid w:val="00EA2100"/>
    <w:rsid w:val="00EA2EA6"/>
    <w:rsid w:val="00EA465B"/>
    <w:rsid w:val="00EA4ECD"/>
    <w:rsid w:val="00EA58B5"/>
    <w:rsid w:val="00EB1514"/>
    <w:rsid w:val="00EB2046"/>
    <w:rsid w:val="00EB3A3F"/>
    <w:rsid w:val="00EB44F7"/>
    <w:rsid w:val="00EB7422"/>
    <w:rsid w:val="00EB750F"/>
    <w:rsid w:val="00ED37CD"/>
    <w:rsid w:val="00ED4CB6"/>
    <w:rsid w:val="00ED5208"/>
    <w:rsid w:val="00EE2D1F"/>
    <w:rsid w:val="00EE5CD7"/>
    <w:rsid w:val="00EF577D"/>
    <w:rsid w:val="00EF6F95"/>
    <w:rsid w:val="00F030EC"/>
    <w:rsid w:val="00F04AFA"/>
    <w:rsid w:val="00F06CF2"/>
    <w:rsid w:val="00F13CE4"/>
    <w:rsid w:val="00F14952"/>
    <w:rsid w:val="00F169F1"/>
    <w:rsid w:val="00F24AB2"/>
    <w:rsid w:val="00F24F75"/>
    <w:rsid w:val="00F353B7"/>
    <w:rsid w:val="00F40595"/>
    <w:rsid w:val="00F44B1F"/>
    <w:rsid w:val="00F44FE4"/>
    <w:rsid w:val="00F5110B"/>
    <w:rsid w:val="00F53D46"/>
    <w:rsid w:val="00F60989"/>
    <w:rsid w:val="00F62E01"/>
    <w:rsid w:val="00F6379D"/>
    <w:rsid w:val="00F63CBE"/>
    <w:rsid w:val="00F67FFB"/>
    <w:rsid w:val="00F71C19"/>
    <w:rsid w:val="00F725AB"/>
    <w:rsid w:val="00F75B38"/>
    <w:rsid w:val="00F76662"/>
    <w:rsid w:val="00F767EB"/>
    <w:rsid w:val="00F76DEA"/>
    <w:rsid w:val="00F8603B"/>
    <w:rsid w:val="00F90B31"/>
    <w:rsid w:val="00F96152"/>
    <w:rsid w:val="00F96881"/>
    <w:rsid w:val="00FA09F3"/>
    <w:rsid w:val="00FA12D3"/>
    <w:rsid w:val="00FA32DD"/>
    <w:rsid w:val="00FA6132"/>
    <w:rsid w:val="00FB21CC"/>
    <w:rsid w:val="00FB394B"/>
    <w:rsid w:val="00FB643D"/>
    <w:rsid w:val="00FB6952"/>
    <w:rsid w:val="00FC5138"/>
    <w:rsid w:val="00FD345E"/>
    <w:rsid w:val="00FD39D7"/>
    <w:rsid w:val="00FD4921"/>
    <w:rsid w:val="00FD6119"/>
    <w:rsid w:val="00FD6CC2"/>
    <w:rsid w:val="00FE039F"/>
    <w:rsid w:val="00FE6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72A3"/>
  <w15:docId w15:val="{EE59011A-5858-4ECC-8455-F0CDF219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B531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B531E"/>
    <w:rPr>
      <w:sz w:val="20"/>
      <w:szCs w:val="20"/>
    </w:rPr>
  </w:style>
  <w:style w:type="character" w:styleId="Funotenzeichen">
    <w:name w:val="footnote reference"/>
    <w:basedOn w:val="Absatz-Standardschriftart"/>
    <w:uiPriority w:val="99"/>
    <w:semiHidden/>
    <w:unhideWhenUsed/>
    <w:rsid w:val="005B531E"/>
    <w:rPr>
      <w:vertAlign w:val="superscript"/>
    </w:rPr>
  </w:style>
  <w:style w:type="table" w:styleId="Tabellenraster">
    <w:name w:val="Table Grid"/>
    <w:basedOn w:val="NormaleTabelle"/>
    <w:uiPriority w:val="59"/>
    <w:rsid w:val="00A10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02E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302EC"/>
  </w:style>
  <w:style w:type="paragraph" w:styleId="Fuzeile">
    <w:name w:val="footer"/>
    <w:basedOn w:val="Standard"/>
    <w:link w:val="FuzeileZchn"/>
    <w:uiPriority w:val="99"/>
    <w:unhideWhenUsed/>
    <w:rsid w:val="004302E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302EC"/>
  </w:style>
  <w:style w:type="character" w:styleId="Kommentarzeichen">
    <w:name w:val="annotation reference"/>
    <w:basedOn w:val="Absatz-Standardschriftart"/>
    <w:uiPriority w:val="99"/>
    <w:semiHidden/>
    <w:unhideWhenUsed/>
    <w:rsid w:val="00CB4315"/>
    <w:rPr>
      <w:sz w:val="16"/>
      <w:szCs w:val="16"/>
    </w:rPr>
  </w:style>
  <w:style w:type="paragraph" w:styleId="Kommentartext">
    <w:name w:val="annotation text"/>
    <w:basedOn w:val="Standard"/>
    <w:link w:val="KommentartextZchn"/>
    <w:uiPriority w:val="99"/>
    <w:unhideWhenUsed/>
    <w:rsid w:val="00CB4315"/>
    <w:pPr>
      <w:spacing w:line="240" w:lineRule="auto"/>
    </w:pPr>
    <w:rPr>
      <w:sz w:val="20"/>
      <w:szCs w:val="20"/>
    </w:rPr>
  </w:style>
  <w:style w:type="character" w:customStyle="1" w:styleId="KommentartextZchn">
    <w:name w:val="Kommentartext Zchn"/>
    <w:basedOn w:val="Absatz-Standardschriftart"/>
    <w:link w:val="Kommentartext"/>
    <w:uiPriority w:val="99"/>
    <w:rsid w:val="00CB4315"/>
    <w:rPr>
      <w:sz w:val="20"/>
      <w:szCs w:val="20"/>
    </w:rPr>
  </w:style>
  <w:style w:type="paragraph" w:styleId="Kommentarthema">
    <w:name w:val="annotation subject"/>
    <w:basedOn w:val="Kommentartext"/>
    <w:next w:val="Kommentartext"/>
    <w:link w:val="KommentarthemaZchn"/>
    <w:uiPriority w:val="99"/>
    <w:semiHidden/>
    <w:unhideWhenUsed/>
    <w:rsid w:val="00CB4315"/>
    <w:rPr>
      <w:b/>
      <w:bCs/>
    </w:rPr>
  </w:style>
  <w:style w:type="character" w:customStyle="1" w:styleId="KommentarthemaZchn">
    <w:name w:val="Kommentarthema Zchn"/>
    <w:basedOn w:val="KommentartextZchn"/>
    <w:link w:val="Kommentarthema"/>
    <w:uiPriority w:val="99"/>
    <w:semiHidden/>
    <w:rsid w:val="00CB4315"/>
    <w:rPr>
      <w:b/>
      <w:bCs/>
      <w:sz w:val="20"/>
      <w:szCs w:val="20"/>
    </w:rPr>
  </w:style>
  <w:style w:type="character" w:styleId="Hyperlink">
    <w:name w:val="Hyperlink"/>
    <w:basedOn w:val="Absatz-Standardschriftart"/>
    <w:uiPriority w:val="99"/>
    <w:unhideWhenUsed/>
    <w:rsid w:val="0020445A"/>
    <w:rPr>
      <w:color w:val="0000FF" w:themeColor="hyperlink"/>
      <w:u w:val="single"/>
    </w:rPr>
  </w:style>
  <w:style w:type="character" w:customStyle="1" w:styleId="NichtaufgelsteErwhnung1">
    <w:name w:val="Nicht aufgelöste Erwähnung1"/>
    <w:basedOn w:val="Absatz-Standardschriftart"/>
    <w:uiPriority w:val="99"/>
    <w:unhideWhenUsed/>
    <w:rsid w:val="0020445A"/>
    <w:rPr>
      <w:color w:val="605E5C"/>
      <w:shd w:val="clear" w:color="auto" w:fill="E1DFDD"/>
    </w:rPr>
  </w:style>
  <w:style w:type="character" w:customStyle="1" w:styleId="Erwhnung1">
    <w:name w:val="Erwähnung1"/>
    <w:basedOn w:val="Absatz-Standardschriftart"/>
    <w:uiPriority w:val="99"/>
    <w:unhideWhenUsed/>
    <w:rsid w:val="00BB52B9"/>
    <w:rPr>
      <w:color w:val="2B579A"/>
      <w:shd w:val="clear" w:color="auto" w:fill="E1DFDD"/>
    </w:rPr>
  </w:style>
  <w:style w:type="paragraph" w:styleId="berarbeitung">
    <w:name w:val="Revision"/>
    <w:hidden/>
    <w:uiPriority w:val="99"/>
    <w:semiHidden/>
    <w:rsid w:val="004D798D"/>
    <w:pPr>
      <w:spacing w:after="0" w:line="240" w:lineRule="auto"/>
    </w:pPr>
  </w:style>
  <w:style w:type="paragraph" w:styleId="Sprechblasentext">
    <w:name w:val="Balloon Text"/>
    <w:basedOn w:val="Standard"/>
    <w:link w:val="SprechblasentextZchn"/>
    <w:uiPriority w:val="99"/>
    <w:semiHidden/>
    <w:unhideWhenUsed/>
    <w:rsid w:val="00193D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3D1B"/>
    <w:rPr>
      <w:rFonts w:ascii="Segoe UI" w:hAnsi="Segoe UI" w:cs="Segoe UI"/>
      <w:sz w:val="18"/>
      <w:szCs w:val="18"/>
    </w:rPr>
  </w:style>
  <w:style w:type="character" w:styleId="NichtaufgelsteErwhnung">
    <w:name w:val="Unresolved Mention"/>
    <w:basedOn w:val="Absatz-Standardschriftart"/>
    <w:uiPriority w:val="99"/>
    <w:semiHidden/>
    <w:unhideWhenUsed/>
    <w:rsid w:val="00536E6F"/>
    <w:rPr>
      <w:color w:val="605E5C"/>
      <w:shd w:val="clear" w:color="auto" w:fill="E1DFDD"/>
    </w:rPr>
  </w:style>
  <w:style w:type="paragraph" w:styleId="Listenabsatz">
    <w:name w:val="List Paragraph"/>
    <w:basedOn w:val="Standard"/>
    <w:uiPriority w:val="34"/>
    <w:qFormat/>
    <w:rsid w:val="00732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 G E R M A N Y ! 4 0 3 6 4 0 7 5 2 . 1 < / d o c u m e n t i d >  
     < s e n d e r i d > M J 2 0 < / s e n d e r i d >  
     < s e n d e r e m a i l > M a r k u s . J o a c h i m s t h a l e r @ p i n s e n t m a s o n s . c o m < / s e n d e r e m a i l >  
     < l a s t m o d i f i e d > 2 0 2 3 - 0 8 - 2 5 T 1 3 : 3 8 : 0 0 . 0 0 0 0 0 0 0 + 0 2 : 0 0 < / l a s t m o d i f i e d >  
     < d a t a b a s e > G E R M A N Y < / 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C6A9-76DE-45F9-AB68-B145AD7D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2578</Words>
  <Characters>16242</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Pinsent Masons</Company>
  <LinksUpToDate>false</LinksUpToDate>
  <CharactersWithSpaces>18783</CharactersWithSpaces>
  <SharedDoc>false</SharedDoc>
  <HLinks>
    <vt:vector size="6" baseType="variant">
      <vt:variant>
        <vt:i4>6553623</vt:i4>
      </vt:variant>
      <vt:variant>
        <vt:i4>0</vt:i4>
      </vt:variant>
      <vt:variant>
        <vt:i4>0</vt:i4>
      </vt:variant>
      <vt:variant>
        <vt:i4>5</vt:i4>
      </vt:variant>
      <vt:variant>
        <vt:lpwstr>mailto:Ipser@wiwinmainz.onmicrosoft.com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dc:creator>
  <cp:keywords/>
  <dc:description/>
  <cp:lastModifiedBy>Markus Joachimsthaler</cp:lastModifiedBy>
  <cp:revision>2</cp:revision>
  <dcterms:created xsi:type="dcterms:W3CDTF">2023-08-25T11:38:00Z</dcterms:created>
  <dcterms:modified xsi:type="dcterms:W3CDTF">2023-08-25T11:38:00Z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403610706.1\689183</vt:lpwstr>
  </property>
  <property fmtid="{D5CDD505-2E9C-101B-9397-08002B2CF9AE}" pid="4" name="MSIP_Label_60030b1f-928c-4852-bb83-2e7cad6400bb_Enabled">
    <vt:lpwstr>true</vt:lpwstr>
  </property>
  <property fmtid="{D5CDD505-2E9C-101B-9397-08002B2CF9AE}" pid="5" name="MSIP_Label_60030b1f-928c-4852-bb83-2e7cad6400bb_SetDate">
    <vt:lpwstr>2023-07-17T11:11:25Z</vt:lpwstr>
  </property>
  <property fmtid="{D5CDD505-2E9C-101B-9397-08002B2CF9AE}" pid="6" name="MSIP_Label_60030b1f-928c-4852-bb83-2e7cad6400bb_Method">
    <vt:lpwstr>Standard</vt:lpwstr>
  </property>
  <property fmtid="{D5CDD505-2E9C-101B-9397-08002B2CF9AE}" pid="7" name="MSIP_Label_60030b1f-928c-4852-bb83-2e7cad6400bb_Name">
    <vt:lpwstr>wiwin</vt:lpwstr>
  </property>
  <property fmtid="{D5CDD505-2E9C-101B-9397-08002B2CF9AE}" pid="8" name="MSIP_Label_60030b1f-928c-4852-bb83-2e7cad6400bb_SiteId">
    <vt:lpwstr>dd25d411-cdca-4325-b1b6-98645d3f8230</vt:lpwstr>
  </property>
  <property fmtid="{D5CDD505-2E9C-101B-9397-08002B2CF9AE}" pid="9" name="MSIP_Label_60030b1f-928c-4852-bb83-2e7cad6400bb_ActionId">
    <vt:lpwstr>02588d7e-eb80-4fe0-905a-3ba216e31c7c</vt:lpwstr>
  </property>
  <property fmtid="{D5CDD505-2E9C-101B-9397-08002B2CF9AE}" pid="10" name="MSIP_Label_60030b1f-928c-4852-bb83-2e7cad6400bb_ContentBits">
    <vt:lpwstr>0</vt:lpwstr>
  </property>
  <property fmtid="{D5CDD505-2E9C-101B-9397-08002B2CF9AE}" pid="11" name="Reference_src">
    <vt:lpwstr>{IMan.Number}.{IMan.Version}\{IMan.imProfileCustom1}</vt:lpwstr>
  </property>
</Properties>
</file>