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40" w:right="-540" w:firstLine="0"/>
        <w:contextualSpacing w:val="0"/>
        <w:jc w:val="left"/>
        <w:rPr/>
      </w:pPr>
      <w:r w:rsidDel="00000000" w:rsidR="00000000" w:rsidRPr="00000000">
        <w:rPr>
          <w:rtl w:val="0"/>
        </w:rPr>
      </w:r>
    </w:p>
    <w:tbl>
      <w:tblPr>
        <w:tblStyle w:val="Table1"/>
        <w:tblW w:w="11205.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6105"/>
        <w:tblGridChange w:id="0">
          <w:tblGrid>
            <w:gridCol w:w="5100"/>
            <w:gridCol w:w="6105"/>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40" w:right="-540" w:firstLine="0"/>
              <w:contextualSpacing w:val="0"/>
              <w:jc w:val="center"/>
              <w:rPr/>
            </w:pPr>
            <w:r w:rsidDel="00000000" w:rsidR="00000000" w:rsidRPr="00000000">
              <w:drawing>
                <wp:inline distB="114300" distT="114300" distL="114300" distR="114300">
                  <wp:extent cx="1600200" cy="17145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600200" cy="17145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b w:val="1"/>
              </w:rPr>
            </w:pPr>
            <w:r w:rsidDel="00000000" w:rsidR="00000000" w:rsidRPr="00000000">
              <w:rPr>
                <w:b w:val="1"/>
                <w:rtl w:val="0"/>
              </w:rPr>
              <w:t xml:space="preserve">Your Business Name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pPr>
            <w:r w:rsidDel="00000000" w:rsidR="00000000" w:rsidRPr="00000000">
              <w:rPr>
                <w:rtl w:val="0"/>
              </w:rPr>
              <w:t xml:space="preserve">1 High Street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pPr>
            <w:r w:rsidDel="00000000" w:rsidR="00000000" w:rsidRPr="00000000">
              <w:rPr>
                <w:rtl w:val="0"/>
              </w:rPr>
              <w:t xml:space="preserve">London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pPr>
            <w:r w:rsidDel="00000000" w:rsidR="00000000" w:rsidRPr="00000000">
              <w:rPr>
                <w:rtl w:val="0"/>
              </w:rPr>
              <w:t xml:space="preserve">EC1G 2NN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pPr>
            <w:r w:rsidDel="00000000" w:rsidR="00000000" w:rsidRPr="00000000">
              <w:rPr>
                <w:rtl w:val="0"/>
              </w:rPr>
              <w:t xml:space="preserve">020 7340 0000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pPr>
            <w:hyperlink r:id="rId6">
              <w:r w:rsidDel="00000000" w:rsidR="00000000" w:rsidRPr="00000000">
                <w:rPr>
                  <w:color w:val="1155cc"/>
                  <w:u w:val="single"/>
                  <w:rtl w:val="0"/>
                </w:rPr>
                <w:t xml:space="preserve">www.example.co.uk</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Written by: Steve Smith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Date: 6th September 2016</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40" w:right="-540" w:firstLine="0"/>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color w:val="cccccc"/>
          <w:sz w:val="28"/>
          <w:szCs w:val="28"/>
        </w:rPr>
      </w:pPr>
      <w:r w:rsidDel="00000000" w:rsidR="00000000" w:rsidRPr="00000000">
        <w:rPr>
          <w:b w:val="1"/>
          <w:color w:val="cccccc"/>
          <w:sz w:val="28"/>
          <w:szCs w:val="28"/>
          <w:rtl w:val="0"/>
        </w:rPr>
        <w:t xml:space="preserve">We’ve added example content to help you get started. Make sure you remove all of the examples, and this help text of course! We accept no responsibility for any consequences arising from you using this free template.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color w:val="cccccc"/>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color w:val="cccccc"/>
          <w:sz w:val="28"/>
          <w:szCs w:val="28"/>
        </w:rPr>
      </w:pPr>
      <w:r w:rsidDel="00000000" w:rsidR="00000000" w:rsidRPr="00000000">
        <w:rPr>
          <w:b w:val="1"/>
          <w:color w:val="cccccc"/>
          <w:sz w:val="28"/>
          <w:szCs w:val="28"/>
          <w:rtl w:val="0"/>
        </w:rPr>
        <w:t xml:space="preserve">Struggling to complete the risk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color w:val="93c47d"/>
          <w:sz w:val="28"/>
          <w:szCs w:val="28"/>
        </w:rPr>
      </w:pPr>
      <w:r w:rsidDel="00000000" w:rsidR="00000000" w:rsidRPr="00000000">
        <w:rPr>
          <w:b w:val="1"/>
          <w:color w:val="cccccc"/>
          <w:sz w:val="28"/>
          <w:szCs w:val="28"/>
          <w:rtl w:val="0"/>
        </w:rPr>
        <w:t xml:space="preserve"> </w:t>
      </w:r>
      <w:hyperlink r:id="rId7">
        <w:r w:rsidDel="00000000" w:rsidR="00000000" w:rsidRPr="00000000">
          <w:rPr>
            <w:b w:val="1"/>
            <w:color w:val="93c47d"/>
            <w:sz w:val="28"/>
            <w:szCs w:val="28"/>
            <w:u w:val="single"/>
            <w:rtl w:val="0"/>
          </w:rPr>
          <w:t xml:space="preserve">Try HANDS HQ and complete a risk assessment in minutes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rPr>
          <w:b w:val="1"/>
          <w:sz w:val="36"/>
          <w:szCs w:val="36"/>
          <w:rtl w:val="0"/>
        </w:rPr>
        <w:t xml:space="preserve">Project:</w:t>
      </w:r>
      <w:r w:rsidDel="00000000" w:rsidR="00000000" w:rsidRPr="00000000">
        <w:rPr>
          <w:sz w:val="36"/>
          <w:szCs w:val="36"/>
          <w:rtl w:val="0"/>
        </w:rPr>
        <w:t xml:space="preserve"> Installing new bathrooms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Site 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Garry’s Gym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34 High Street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London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SW1 3EW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Date of works: </w:t>
      </w:r>
      <w:r w:rsidDel="00000000" w:rsidR="00000000" w:rsidRPr="00000000">
        <w:rPr>
          <w:rtl w:val="0"/>
        </w:rPr>
        <w:t xml:space="preserve">24th Oct 2016 - 11th Nov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0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5430"/>
        <w:gridCol w:w="1980"/>
        <w:tblGridChange w:id="0">
          <w:tblGrid>
            <w:gridCol w:w="3045"/>
            <w:gridCol w:w="5430"/>
            <w:gridCol w:w="1980"/>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b w:val="1"/>
                <w:sz w:val="28"/>
                <w:szCs w:val="28"/>
                <w:rtl w:val="0"/>
              </w:rPr>
              <w:t xml:space="preserve">Task: </w:t>
            </w:r>
            <w:r w:rsidDel="00000000" w:rsidR="00000000" w:rsidRPr="00000000">
              <w:rPr>
                <w:sz w:val="28"/>
                <w:szCs w:val="28"/>
                <w:rtl w:val="0"/>
              </w:rPr>
              <w:t xml:space="preserve">Arrival and departure from site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Hazard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Control measures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Who is at risk?</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Struck by moving vehicles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All operatives and site visitors must ensure they sign in when entering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Site inductions to be provided to all operatives and visitors before entering the work site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All operatives and visitors to keep to pedestrian areas only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use of cross-over points will be incorporated into site plan by principal contractor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Operatives and public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Muscle strains, sprains &amp; injuries caused by lifting heavy loads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Use correct lifting techniques, all operatives should be trained in the safe method of lifting - refer to manual handling section in attached method statement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Ensure two man lift is enforced for reaching or carrying heavier items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Split loads to make them lighter and safer to handle smoking and after shift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Operative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10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5430"/>
        <w:gridCol w:w="1980"/>
        <w:tblGridChange w:id="0">
          <w:tblGrid>
            <w:gridCol w:w="3045"/>
            <w:gridCol w:w="5430"/>
            <w:gridCol w:w="1980"/>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b w:val="1"/>
                <w:sz w:val="28"/>
                <w:szCs w:val="28"/>
                <w:rtl w:val="0"/>
              </w:rPr>
              <w:t xml:space="preserve">Task: </w:t>
            </w:r>
            <w:r w:rsidDel="00000000" w:rsidR="00000000" w:rsidRPr="00000000">
              <w:rPr>
                <w:sz w:val="28"/>
                <w:szCs w:val="28"/>
                <w:rtl w:val="0"/>
              </w:rPr>
              <w:t xml:space="preserve">Preparing surfaces for decorations</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Hazard</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Control measures</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Who is at risk?</w:t>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Lung damage or difficulty</w:t>
              <w:br w:type="textWrapping"/>
              <w:t xml:space="preserve">breathing from mixing and</w:t>
              <w:br w:type="textWrapping"/>
              <w:t xml:space="preserve">sanding powdered fillers</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Wear dust mask when mixing up filler solution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Ensure filler solution is mixed in a well ventilated and nominated area by site supervisor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Operative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Cuts to hands from preparing surfaces</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Wear gloves when cleaning surface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Cover cuts and open wounds with onsite first aid supplies, all accidents to be reported to site supervisor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Wash and wipe hands before eating, drinking, smoking and after shift</w:t>
            </w:r>
          </w:p>
        </w:tc>
        <w:tc>
          <w:tcPr>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Operative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8" w:type="default"/>
      <w:pgSz w:h="16838" w:w="11906"/>
      <w:pgMar w:bottom="144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example.co.uk" TargetMode="External"/><Relationship Id="rId7" Type="http://schemas.openxmlformats.org/officeDocument/2006/relationships/hyperlink" Target="https://www.handshq.com/ppc/construction/?utm_source=free-template" TargetMode="External"/><Relationship Id="rId8" Type="http://schemas.openxmlformats.org/officeDocument/2006/relationships/footer" Target="footer1.xml"/></Relationships>
</file>