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0</wp:posOffset>
                </wp:positionV>
                <wp:extent cx="3670300" cy="1409700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3509580" y="3077690"/>
                          <a:ext cx="36728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rete Round" w:cs="Crete Round" w:eastAsia="Crete Round" w:hAnsi="Crete Round"/>
                                <w:b w:val="0"/>
                                <w:i w:val="0"/>
                                <w:smallCaps w:val="0"/>
                                <w:strike w:val="0"/>
                                <w:color w:val="5c5d5f"/>
                                <w:sz w:val="56"/>
                                <w:vertAlign w:val="baseline"/>
                              </w:rPr>
                              <w:t xml:space="preserve">Evaluation Planning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rete Round" w:cs="Crete Round" w:eastAsia="Crete Round" w:hAnsi="Crete Round"/>
                                <w:b w:val="0"/>
                                <w:i w:val="0"/>
                                <w:smallCaps w:val="0"/>
                                <w:strike w:val="0"/>
                                <w:color w:val="5c5d5f"/>
                                <w:sz w:val="5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rete Round" w:cs="Crete Round" w:eastAsia="Crete Round" w:hAnsi="Crete Round"/>
                                <w:b w:val="0"/>
                                <w:i w:val="0"/>
                                <w:smallCaps w:val="0"/>
                                <w:strike w:val="0"/>
                                <w:color w:val="5c5d5f"/>
                                <w:sz w:val="56"/>
                                <w:vertAlign w:val="baseline"/>
                              </w:rPr>
                              <w:t xml:space="preserve">Tip Sheet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45720" distT="45720" distL="114300" distR="114300" hidden="0" layoutInCell="0" locked="0" relativeHeight="0" simplePos="0">
                <wp:simplePos x="0" y="0"/>
                <wp:positionH relativeFrom="margin">
                  <wp:posOffset>2844800</wp:posOffset>
                </wp:positionH>
                <wp:positionV relativeFrom="paragraph">
                  <wp:posOffset>0</wp:posOffset>
                </wp:positionV>
                <wp:extent cx="3670300" cy="1409700"/>
                <wp:effectExtent b="0" l="0" r="0" t="0"/>
                <wp:wrapSquare wrapText="bothSides" distB="45720" distT="4572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7620</wp:posOffset>
            </wp:positionV>
            <wp:extent cx="1171575" cy="851535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51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Three months before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ab/>
        <w:t xml:space="preserve">Begin new instrument identification/development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Identify any event hosts who can help with data collection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Two months before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ab/>
        <w:t xml:space="preserve">Finalize all instruments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ab/>
        <w:tab/>
        <w:tab/>
        <w:tab/>
        <w:tab/>
        <w:t xml:space="preserve">Interview field researchers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The month before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ab/>
        <w:t xml:space="preserve">All instruments programmed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All field researchers hired &amp; assigned to data collection events/shifts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ab/>
        <w:tab/>
        <w:tab/>
        <w:tab/>
        <w:tab/>
        <w:t xml:space="preserve">Make paper copies of surveys, if needed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Get Festival t-shirts or some other swag for field researchers to wear when collecting data 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Buy data collection supplies: clipboards, pens, golf pencils, flashlights &amp; red balloons (for star gazing events)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Mail all surveys and materials out to remote event hosts collecting data and/or field researchers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Confirm all data collection with event hosts; email to introduce event hosts and evaluators so they can make plans for meeting prior to beginning of event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During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 xml:space="preserve">Field researchers trained in 30 minutes prior to first shift; if not possible, training done by phone/webinar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ab/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Field researchers arrive 30 minutes early for each event to meet event host and deal with any final logistics that need sorting out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ab/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If data collected by a field researcher alone, have him/her text/call to check in at beginning of the shift to help solve any logistical surprises AND at end of shift to report number of surveys collected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 xml:space="preserve">Keep a running tally of surveys collected at each event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For Expos, visit venue early to map out zones for field researchers so they do not cluster/overlap during data collection; assign field researchers to zones; if shift is more than two hours, consider having two zones per shift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hanging="4320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Email Survey Data Collection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 xml:space="preserve">If possible, send email survey to attendees who registered to attend events; send initial invite and a one-week reminder only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Survey event hosts and any K12 teachers or scientists on the Friday after their event; send an initial invite, a one-week reminder, and a Past Due reminder two weeks after the event; you can choose how long to keep sending Past Due reminders depending on the audience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One month after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 xml:space="preserve">All survey data collection done</w:t>
      </w:r>
    </w:p>
    <w:p w:rsidR="00000000" w:rsidDel="00000000" w:rsidP="00000000" w:rsidRDefault="00000000" w:rsidRPr="00000000">
      <w:pPr>
        <w:ind w:left="4320" w:firstLine="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 xml:space="preserve">All data entry done</w:t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4320" w:hanging="4320"/>
        <w:contextualSpacing w:val="0"/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5c5d5f"/>
          <w:sz w:val="24"/>
          <w:szCs w:val="24"/>
          <w:rtl w:val="0"/>
        </w:rPr>
        <w:t xml:space="preserve">Two-three months after the Festival</w:t>
      </w:r>
      <w:r w:rsidDel="00000000" w:rsidR="00000000" w:rsidRPr="00000000">
        <w:rPr>
          <w:rFonts w:ascii="Source Sans Pro" w:cs="Source Sans Pro" w:eastAsia="Source Sans Pro" w:hAnsi="Source Sans Pro"/>
          <w:color w:val="5c5d5f"/>
          <w:sz w:val="24"/>
          <w:szCs w:val="24"/>
          <w:rtl w:val="0"/>
        </w:rPr>
        <w:tab/>
        <w:t xml:space="preserve">Evaluation report or debrief meeting with Festival team</w:t>
      </w:r>
    </w:p>
    <w:sectPr>
      <w:footerReference r:id="rId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footer" Target="footer1.xml"/></Relationships>
</file>