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1389" w14:textId="7C1C2EF4" w:rsidR="000E4D49" w:rsidRPr="001C5D67" w:rsidRDefault="00761F8A" w:rsidP="00461862">
      <w:pPr>
        <w:pStyle w:val="Heading1"/>
        <w:rPr>
          <w:rFonts w:asciiTheme="majorHAnsi" w:hAnsiTheme="majorHAnsi" w:cs="Arial"/>
          <w:color w:val="538135" w:themeColor="accent6" w:themeShade="BF"/>
          <w:sz w:val="28"/>
          <w:szCs w:val="28"/>
        </w:rPr>
      </w:pPr>
      <w:bookmarkStart w:id="0" w:name="_Toc470085958"/>
      <w:r>
        <w:rPr>
          <w:rFonts w:asciiTheme="majorHAnsi" w:hAnsiTheme="majorHAnsi" w:cs="Arial"/>
          <w:color w:val="538135" w:themeColor="accent6" w:themeShade="BF"/>
          <w:sz w:val="28"/>
          <w:szCs w:val="28"/>
        </w:rPr>
        <w:t xml:space="preserve">NZPork </w:t>
      </w:r>
      <w:r w:rsidR="008A0C31">
        <w:rPr>
          <w:rFonts w:asciiTheme="majorHAnsi" w:hAnsiTheme="majorHAnsi" w:cs="Arial"/>
          <w:color w:val="538135" w:themeColor="accent6" w:themeShade="BF"/>
          <w:sz w:val="28"/>
          <w:szCs w:val="28"/>
        </w:rPr>
        <w:t>Reserves Policy</w:t>
      </w:r>
    </w:p>
    <w:bookmarkEnd w:id="0"/>
    <w:p w14:paraId="726B1552" w14:textId="3EA978B3" w:rsidR="00461862" w:rsidRDefault="00461862" w:rsidP="00461862">
      <w:pPr>
        <w:pStyle w:val="Normal1"/>
        <w:contextualSpacing/>
        <w:jc w:val="both"/>
        <w:rPr>
          <w:rFonts w:asciiTheme="majorHAnsi" w:hAnsiTheme="majorHAnsi" w:cs="Times New Roman"/>
          <w:sz w:val="22"/>
          <w:szCs w:val="22"/>
        </w:rPr>
      </w:pPr>
    </w:p>
    <w:p w14:paraId="2E10C13F" w14:textId="0EE45079" w:rsidR="009D1624" w:rsidRPr="00907653" w:rsidRDefault="009D1624" w:rsidP="009D1624">
      <w:pPr>
        <w:pStyle w:val="Normal1"/>
        <w:contextualSpacing/>
        <w:jc w:val="both"/>
        <w:rPr>
          <w:rFonts w:asciiTheme="majorHAnsi" w:hAnsiTheme="majorHAnsi" w:cs="Times New Roman"/>
          <w:b/>
          <w:sz w:val="22"/>
          <w:szCs w:val="22"/>
        </w:rPr>
      </w:pPr>
      <w:r>
        <w:rPr>
          <w:rFonts w:asciiTheme="majorHAnsi" w:hAnsiTheme="majorHAnsi" w:cs="Times New Roman"/>
          <w:b/>
          <w:sz w:val="22"/>
          <w:szCs w:val="22"/>
        </w:rPr>
        <w:t>Introduction</w:t>
      </w:r>
    </w:p>
    <w:p w14:paraId="44D2C67E" w14:textId="5EA3DE8B" w:rsidR="009D1624" w:rsidRPr="00307BB5" w:rsidRDefault="008D3B5E" w:rsidP="00461862">
      <w:pPr>
        <w:pStyle w:val="Normal1"/>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Th</w:t>
      </w:r>
      <w:r w:rsidR="00FE3744" w:rsidRPr="00307BB5">
        <w:rPr>
          <w:rFonts w:asciiTheme="majorHAnsi" w:hAnsiTheme="majorHAnsi" w:cs="Times New Roman"/>
          <w:color w:val="auto"/>
          <w:sz w:val="22"/>
          <w:szCs w:val="22"/>
        </w:rPr>
        <w:t xml:space="preserve">e NZPork Reserves policy </w:t>
      </w:r>
      <w:r w:rsidR="00754C02" w:rsidRPr="00307BB5">
        <w:rPr>
          <w:rFonts w:asciiTheme="majorHAnsi" w:hAnsiTheme="majorHAnsi" w:cs="Times New Roman"/>
          <w:color w:val="auto"/>
          <w:sz w:val="22"/>
          <w:szCs w:val="22"/>
        </w:rPr>
        <w:t>outlines how the NZPork Board will maintain a level of equity that allows for reserves to be held as a contingency fund to</w:t>
      </w:r>
      <w:r w:rsidR="004E33EB">
        <w:rPr>
          <w:rFonts w:asciiTheme="majorHAnsi" w:hAnsiTheme="majorHAnsi" w:cs="Times New Roman"/>
          <w:color w:val="auto"/>
          <w:sz w:val="22"/>
          <w:szCs w:val="22"/>
        </w:rPr>
        <w:t xml:space="preserve"> </w:t>
      </w:r>
      <w:r w:rsidR="00754C02" w:rsidRPr="00307BB5">
        <w:rPr>
          <w:rFonts w:asciiTheme="majorHAnsi" w:hAnsiTheme="majorHAnsi" w:cs="Times New Roman"/>
          <w:color w:val="auto"/>
          <w:sz w:val="22"/>
          <w:szCs w:val="22"/>
        </w:rPr>
        <w:t>assist NZPork’s resp</w:t>
      </w:r>
      <w:r w:rsidR="008B2164" w:rsidRPr="00307BB5">
        <w:rPr>
          <w:rFonts w:asciiTheme="majorHAnsi" w:hAnsiTheme="majorHAnsi" w:cs="Times New Roman"/>
          <w:color w:val="auto"/>
          <w:sz w:val="22"/>
          <w:szCs w:val="22"/>
        </w:rPr>
        <w:t>onse to a major crisis</w:t>
      </w:r>
      <w:r w:rsidR="000A46C6" w:rsidRPr="00307BB5">
        <w:rPr>
          <w:rFonts w:asciiTheme="majorHAnsi" w:hAnsiTheme="majorHAnsi" w:cs="Times New Roman"/>
          <w:color w:val="auto"/>
          <w:sz w:val="22"/>
          <w:szCs w:val="22"/>
        </w:rPr>
        <w:t xml:space="preserve"> including </w:t>
      </w:r>
      <w:r w:rsidR="008B2164" w:rsidRPr="00307BB5">
        <w:rPr>
          <w:rFonts w:asciiTheme="majorHAnsi" w:hAnsiTheme="majorHAnsi" w:cs="Times New Roman"/>
          <w:color w:val="auto"/>
          <w:sz w:val="22"/>
          <w:szCs w:val="22"/>
        </w:rPr>
        <w:t>guidelines on use of the reserves.</w:t>
      </w:r>
    </w:p>
    <w:p w14:paraId="1707D99D" w14:textId="48EFED56" w:rsidR="009F1A0D" w:rsidRPr="00307BB5" w:rsidRDefault="009F1A0D" w:rsidP="00461862">
      <w:pPr>
        <w:pStyle w:val="Normal1"/>
        <w:contextualSpacing/>
        <w:jc w:val="both"/>
        <w:rPr>
          <w:rFonts w:asciiTheme="majorHAnsi" w:hAnsiTheme="majorHAnsi" w:cs="Times New Roman"/>
          <w:color w:val="auto"/>
          <w:sz w:val="22"/>
          <w:szCs w:val="22"/>
        </w:rPr>
      </w:pPr>
    </w:p>
    <w:p w14:paraId="501A55E4" w14:textId="5A5444A4" w:rsidR="002A3269" w:rsidRPr="00307BB5" w:rsidRDefault="002A3269" w:rsidP="00461862">
      <w:pPr>
        <w:pStyle w:val="Normal1"/>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This </w:t>
      </w:r>
      <w:r w:rsidR="00761F8A" w:rsidRPr="00307BB5">
        <w:rPr>
          <w:rFonts w:asciiTheme="majorHAnsi" w:hAnsiTheme="majorHAnsi" w:cs="Times New Roman"/>
          <w:color w:val="auto"/>
          <w:sz w:val="22"/>
          <w:szCs w:val="22"/>
        </w:rPr>
        <w:t xml:space="preserve">policy and guidelines </w:t>
      </w:r>
      <w:proofErr w:type="gramStart"/>
      <w:r w:rsidR="00761F8A" w:rsidRPr="00307BB5">
        <w:rPr>
          <w:rFonts w:asciiTheme="majorHAnsi" w:hAnsiTheme="majorHAnsi" w:cs="Times New Roman"/>
          <w:color w:val="auto"/>
          <w:sz w:val="22"/>
          <w:szCs w:val="22"/>
        </w:rPr>
        <w:t>replace</w:t>
      </w:r>
      <w:r w:rsidR="00B333AC" w:rsidRPr="00307BB5">
        <w:rPr>
          <w:rFonts w:asciiTheme="majorHAnsi" w:hAnsiTheme="majorHAnsi" w:cs="Times New Roman"/>
          <w:color w:val="auto"/>
          <w:sz w:val="22"/>
          <w:szCs w:val="22"/>
        </w:rPr>
        <w:t>s</w:t>
      </w:r>
      <w:proofErr w:type="gramEnd"/>
      <w:r w:rsidR="00B333AC" w:rsidRPr="00307BB5">
        <w:rPr>
          <w:rFonts w:asciiTheme="majorHAnsi" w:hAnsiTheme="majorHAnsi" w:cs="Times New Roman"/>
          <w:color w:val="auto"/>
          <w:sz w:val="22"/>
          <w:szCs w:val="22"/>
        </w:rPr>
        <w:t>:</w:t>
      </w:r>
    </w:p>
    <w:p w14:paraId="16C466C3" w14:textId="522CBCF5" w:rsidR="00761F8A" w:rsidRPr="00307BB5" w:rsidRDefault="00B333AC" w:rsidP="00761F8A">
      <w:pPr>
        <w:pStyle w:val="Normal1"/>
        <w:numPr>
          <w:ilvl w:val="0"/>
          <w:numId w:val="3"/>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 Pork </w:t>
      </w:r>
      <w:r w:rsidR="008A0C31" w:rsidRPr="00307BB5">
        <w:rPr>
          <w:rFonts w:asciiTheme="majorHAnsi" w:hAnsiTheme="majorHAnsi" w:cs="Times New Roman"/>
          <w:color w:val="auto"/>
          <w:sz w:val="22"/>
          <w:szCs w:val="22"/>
        </w:rPr>
        <w:t>Reserves Policy, April 2015</w:t>
      </w:r>
    </w:p>
    <w:p w14:paraId="3D8A250E" w14:textId="77777777" w:rsidR="00907653" w:rsidRPr="00307BB5" w:rsidRDefault="00907653" w:rsidP="00907653">
      <w:pPr>
        <w:pStyle w:val="Normal1"/>
        <w:contextualSpacing/>
        <w:jc w:val="both"/>
        <w:rPr>
          <w:rFonts w:asciiTheme="majorHAnsi" w:hAnsiTheme="majorHAnsi" w:cs="Times New Roman"/>
          <w:color w:val="auto"/>
          <w:sz w:val="22"/>
          <w:szCs w:val="22"/>
        </w:rPr>
      </w:pPr>
    </w:p>
    <w:p w14:paraId="3F54FDDC" w14:textId="0FF43CCB" w:rsidR="00175FE9" w:rsidRPr="00307BB5" w:rsidRDefault="00175FE9" w:rsidP="00175FE9">
      <w:pPr>
        <w:pStyle w:val="Normal1"/>
        <w:contextualSpacing/>
        <w:jc w:val="both"/>
        <w:rPr>
          <w:rFonts w:asciiTheme="majorHAnsi" w:hAnsiTheme="majorHAnsi" w:cs="Times New Roman"/>
          <w:b/>
          <w:color w:val="auto"/>
          <w:sz w:val="22"/>
          <w:szCs w:val="22"/>
        </w:rPr>
      </w:pPr>
      <w:r w:rsidRPr="00307BB5">
        <w:rPr>
          <w:rFonts w:asciiTheme="majorHAnsi" w:hAnsiTheme="majorHAnsi" w:cs="Times New Roman"/>
          <w:b/>
          <w:color w:val="auto"/>
          <w:sz w:val="22"/>
          <w:szCs w:val="22"/>
        </w:rPr>
        <w:t>Responsibilities</w:t>
      </w:r>
    </w:p>
    <w:p w14:paraId="25DE6E10" w14:textId="2200D4BA" w:rsidR="00C10C43" w:rsidRPr="00307BB5" w:rsidRDefault="00652072"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Directors are responsible for maintaining a </w:t>
      </w:r>
      <w:proofErr w:type="gramStart"/>
      <w:r w:rsidRPr="00307BB5">
        <w:rPr>
          <w:rFonts w:asciiTheme="majorHAnsi" w:hAnsiTheme="majorHAnsi" w:cs="Times New Roman"/>
          <w:color w:val="auto"/>
          <w:sz w:val="22"/>
          <w:szCs w:val="22"/>
        </w:rPr>
        <w:t>reserves</w:t>
      </w:r>
      <w:proofErr w:type="gramEnd"/>
      <w:r w:rsidRPr="00307BB5">
        <w:rPr>
          <w:rFonts w:asciiTheme="majorHAnsi" w:hAnsiTheme="majorHAnsi" w:cs="Times New Roman"/>
          <w:color w:val="auto"/>
          <w:sz w:val="22"/>
          <w:szCs w:val="22"/>
        </w:rPr>
        <w:t xml:space="preserve"> policy</w:t>
      </w:r>
      <w:r w:rsidR="002A5538" w:rsidRPr="00307BB5">
        <w:rPr>
          <w:rFonts w:asciiTheme="majorHAnsi" w:hAnsiTheme="majorHAnsi" w:cs="Times New Roman"/>
          <w:color w:val="auto"/>
          <w:sz w:val="22"/>
          <w:szCs w:val="22"/>
        </w:rPr>
        <w:t>;</w:t>
      </w:r>
    </w:p>
    <w:p w14:paraId="4E8A8B1A" w14:textId="6495DA9C" w:rsidR="00175FE9" w:rsidRPr="00307BB5" w:rsidRDefault="00652072"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Directors are responsible for consulting farmers before changing or setting the reserves </w:t>
      </w:r>
      <w:proofErr w:type="gramStart"/>
      <w:r w:rsidRPr="00307BB5">
        <w:rPr>
          <w:rFonts w:asciiTheme="majorHAnsi" w:hAnsiTheme="majorHAnsi" w:cs="Times New Roman"/>
          <w:color w:val="auto"/>
          <w:sz w:val="22"/>
          <w:szCs w:val="22"/>
        </w:rPr>
        <w:t>policy</w:t>
      </w:r>
      <w:r w:rsidR="00C10C43" w:rsidRPr="00307BB5">
        <w:rPr>
          <w:rFonts w:asciiTheme="majorHAnsi" w:hAnsiTheme="majorHAnsi" w:cs="Times New Roman"/>
          <w:color w:val="auto"/>
          <w:sz w:val="22"/>
          <w:szCs w:val="22"/>
        </w:rPr>
        <w:t>;</w:t>
      </w:r>
      <w:proofErr w:type="gramEnd"/>
    </w:p>
    <w:p w14:paraId="1F24AF5F" w14:textId="2BB8C3F9" w:rsidR="00C10C43" w:rsidRPr="00307BB5" w:rsidRDefault="00652072"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Directors are responsible for consulting farmers before allocating funds for industry-good </w:t>
      </w:r>
      <w:proofErr w:type="gramStart"/>
      <w:r w:rsidRPr="00307BB5">
        <w:rPr>
          <w:rFonts w:asciiTheme="majorHAnsi" w:hAnsiTheme="majorHAnsi" w:cs="Times New Roman"/>
          <w:color w:val="auto"/>
          <w:sz w:val="22"/>
          <w:szCs w:val="22"/>
        </w:rPr>
        <w:t>projects;</w:t>
      </w:r>
      <w:proofErr w:type="gramEnd"/>
    </w:p>
    <w:p w14:paraId="1190598D" w14:textId="11A655E6" w:rsidR="002A5538" w:rsidRPr="00307BB5" w:rsidRDefault="00652072"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w:t>
      </w:r>
      <w:r w:rsidR="005038E5">
        <w:rPr>
          <w:rFonts w:asciiTheme="majorHAnsi" w:hAnsiTheme="majorHAnsi" w:cs="Times New Roman"/>
          <w:color w:val="auto"/>
          <w:sz w:val="22"/>
          <w:szCs w:val="22"/>
        </w:rPr>
        <w:t>Chief Executive</w:t>
      </w:r>
      <w:r w:rsidRPr="00307BB5">
        <w:rPr>
          <w:rFonts w:asciiTheme="majorHAnsi" w:hAnsiTheme="majorHAnsi" w:cs="Times New Roman"/>
          <w:color w:val="auto"/>
          <w:sz w:val="22"/>
          <w:szCs w:val="22"/>
        </w:rPr>
        <w:t xml:space="preserve"> is responsible for making the policy available to farmers on </w:t>
      </w:r>
      <w:proofErr w:type="gramStart"/>
      <w:r w:rsidRPr="00307BB5">
        <w:rPr>
          <w:rFonts w:asciiTheme="majorHAnsi" w:hAnsiTheme="majorHAnsi" w:cs="Times New Roman"/>
          <w:color w:val="auto"/>
          <w:sz w:val="22"/>
          <w:szCs w:val="22"/>
        </w:rPr>
        <w:t>request;</w:t>
      </w:r>
      <w:proofErr w:type="gramEnd"/>
      <w:r w:rsidRPr="00307BB5">
        <w:rPr>
          <w:rFonts w:asciiTheme="majorHAnsi" w:hAnsiTheme="majorHAnsi" w:cs="Times New Roman"/>
          <w:color w:val="auto"/>
          <w:sz w:val="22"/>
          <w:szCs w:val="22"/>
        </w:rPr>
        <w:t xml:space="preserve"> </w:t>
      </w:r>
    </w:p>
    <w:p w14:paraId="5ADAFBE5" w14:textId="2CB631B1" w:rsidR="00652072" w:rsidRPr="00307BB5" w:rsidRDefault="00652072"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NZPork Directors are responsible for ensuring the</w:t>
      </w:r>
      <w:r w:rsidR="00754C02" w:rsidRPr="00307BB5">
        <w:rPr>
          <w:rFonts w:asciiTheme="majorHAnsi" w:hAnsiTheme="majorHAnsi" w:cs="Times New Roman"/>
          <w:color w:val="auto"/>
          <w:sz w:val="22"/>
          <w:szCs w:val="22"/>
        </w:rPr>
        <w:t xml:space="preserve"> policy is complied </w:t>
      </w:r>
      <w:proofErr w:type="gramStart"/>
      <w:r w:rsidR="00754C02" w:rsidRPr="00307BB5">
        <w:rPr>
          <w:rFonts w:asciiTheme="majorHAnsi" w:hAnsiTheme="majorHAnsi" w:cs="Times New Roman"/>
          <w:color w:val="auto"/>
          <w:sz w:val="22"/>
          <w:szCs w:val="22"/>
        </w:rPr>
        <w:t>with;</w:t>
      </w:r>
      <w:proofErr w:type="gramEnd"/>
      <w:r w:rsidRPr="00307BB5">
        <w:rPr>
          <w:rFonts w:asciiTheme="majorHAnsi" w:hAnsiTheme="majorHAnsi" w:cs="Times New Roman"/>
          <w:color w:val="auto"/>
          <w:sz w:val="22"/>
          <w:szCs w:val="22"/>
        </w:rPr>
        <w:t xml:space="preserve"> </w:t>
      </w:r>
    </w:p>
    <w:p w14:paraId="16BF8A84" w14:textId="4068744C" w:rsidR="00132AEB" w:rsidRPr="00307BB5" w:rsidRDefault="00652072" w:rsidP="00132AEB">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w:t>
      </w:r>
      <w:r w:rsidR="005038E5">
        <w:rPr>
          <w:rFonts w:asciiTheme="majorHAnsi" w:hAnsiTheme="majorHAnsi" w:cs="Times New Roman"/>
          <w:color w:val="auto"/>
          <w:sz w:val="22"/>
          <w:szCs w:val="22"/>
        </w:rPr>
        <w:t>Chief Executive</w:t>
      </w:r>
      <w:r w:rsidR="001E78A9" w:rsidRPr="00307BB5">
        <w:rPr>
          <w:rFonts w:asciiTheme="majorHAnsi" w:hAnsiTheme="majorHAnsi" w:cs="Times New Roman"/>
          <w:color w:val="auto"/>
          <w:sz w:val="22"/>
          <w:szCs w:val="22"/>
        </w:rPr>
        <w:t xml:space="preserve"> is responsible for the reporting of the</w:t>
      </w:r>
      <w:r w:rsidRPr="00307BB5">
        <w:rPr>
          <w:rFonts w:asciiTheme="majorHAnsi" w:hAnsiTheme="majorHAnsi" w:cs="Times New Roman"/>
          <w:color w:val="auto"/>
          <w:sz w:val="22"/>
          <w:szCs w:val="22"/>
        </w:rPr>
        <w:t xml:space="preserve"> reserves via the</w:t>
      </w:r>
      <w:r w:rsidR="001E78A9" w:rsidRPr="00307BB5">
        <w:rPr>
          <w:rFonts w:asciiTheme="majorHAnsi" w:hAnsiTheme="majorHAnsi" w:cs="Times New Roman"/>
          <w:color w:val="auto"/>
          <w:sz w:val="22"/>
          <w:szCs w:val="22"/>
        </w:rPr>
        <w:t xml:space="preserve"> </w:t>
      </w:r>
      <w:r w:rsidR="00203F98">
        <w:rPr>
          <w:rFonts w:asciiTheme="majorHAnsi" w:hAnsiTheme="majorHAnsi" w:cs="Times New Roman"/>
          <w:color w:val="auto"/>
          <w:sz w:val="22"/>
          <w:szCs w:val="22"/>
        </w:rPr>
        <w:t>Financial Statements and report</w:t>
      </w:r>
      <w:r w:rsidR="00747D98">
        <w:rPr>
          <w:rFonts w:asciiTheme="majorHAnsi" w:hAnsiTheme="majorHAnsi" w:cs="Times New Roman"/>
          <w:color w:val="auto"/>
          <w:sz w:val="22"/>
          <w:szCs w:val="22"/>
        </w:rPr>
        <w:t>s which are presented</w:t>
      </w:r>
      <w:r w:rsidR="001E78A9" w:rsidRPr="00307BB5">
        <w:rPr>
          <w:rFonts w:asciiTheme="majorHAnsi" w:hAnsiTheme="majorHAnsi" w:cs="Times New Roman"/>
          <w:color w:val="auto"/>
          <w:sz w:val="22"/>
          <w:szCs w:val="22"/>
        </w:rPr>
        <w:t xml:space="preserve"> to the NZPork Directors at the Board Meetings</w:t>
      </w:r>
      <w:r w:rsidR="008B2164" w:rsidRPr="00307BB5">
        <w:rPr>
          <w:rFonts w:asciiTheme="majorHAnsi" w:hAnsiTheme="majorHAnsi" w:cs="Times New Roman"/>
          <w:color w:val="auto"/>
          <w:sz w:val="22"/>
          <w:szCs w:val="22"/>
        </w:rPr>
        <w:t>; and</w:t>
      </w:r>
    </w:p>
    <w:p w14:paraId="0BCF645B" w14:textId="473C3928" w:rsidR="00C10C43" w:rsidRPr="00307BB5" w:rsidRDefault="00F51C73" w:rsidP="00175FE9">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NZPork Directors are responsible for the </w:t>
      </w:r>
      <w:r w:rsidR="001E78A9" w:rsidRPr="00307BB5">
        <w:rPr>
          <w:rFonts w:asciiTheme="majorHAnsi" w:hAnsiTheme="majorHAnsi" w:cs="Times New Roman"/>
          <w:color w:val="auto"/>
          <w:sz w:val="22"/>
          <w:szCs w:val="22"/>
        </w:rPr>
        <w:t xml:space="preserve">disclosure of reserves within the full </w:t>
      </w:r>
      <w:r w:rsidRPr="00307BB5">
        <w:rPr>
          <w:rFonts w:asciiTheme="majorHAnsi" w:hAnsiTheme="majorHAnsi" w:cs="Times New Roman"/>
          <w:color w:val="auto"/>
          <w:sz w:val="22"/>
          <w:szCs w:val="22"/>
        </w:rPr>
        <w:t xml:space="preserve">financial statements </w:t>
      </w:r>
      <w:r w:rsidR="001E78A9" w:rsidRPr="00307BB5">
        <w:rPr>
          <w:rFonts w:asciiTheme="majorHAnsi" w:hAnsiTheme="majorHAnsi" w:cs="Times New Roman"/>
          <w:color w:val="auto"/>
          <w:sz w:val="22"/>
          <w:szCs w:val="22"/>
        </w:rPr>
        <w:t xml:space="preserve">in accordance with the Generally Accepted Accounting Practice in New Zealand (NZ GAAP). </w:t>
      </w:r>
    </w:p>
    <w:p w14:paraId="3692D3AE" w14:textId="77777777" w:rsidR="00C10C43" w:rsidRPr="00307BB5" w:rsidRDefault="00C10C43" w:rsidP="00FB6ACB">
      <w:pPr>
        <w:pStyle w:val="Normal1"/>
        <w:contextualSpacing/>
        <w:jc w:val="both"/>
        <w:rPr>
          <w:rFonts w:asciiTheme="majorHAnsi" w:hAnsiTheme="majorHAnsi" w:cs="Times New Roman"/>
          <w:color w:val="auto"/>
          <w:sz w:val="22"/>
          <w:szCs w:val="22"/>
        </w:rPr>
      </w:pPr>
    </w:p>
    <w:p w14:paraId="50819404" w14:textId="2540AE13" w:rsidR="00FB6ACB" w:rsidRPr="00307BB5" w:rsidRDefault="008A0C31" w:rsidP="00FB6ACB">
      <w:pPr>
        <w:pStyle w:val="Normal1"/>
        <w:contextualSpacing/>
        <w:jc w:val="both"/>
        <w:rPr>
          <w:rFonts w:asciiTheme="majorHAnsi" w:hAnsiTheme="majorHAnsi" w:cs="Times New Roman"/>
          <w:b/>
          <w:color w:val="auto"/>
          <w:sz w:val="22"/>
          <w:szCs w:val="22"/>
        </w:rPr>
      </w:pPr>
      <w:r w:rsidRPr="00307BB5">
        <w:rPr>
          <w:rFonts w:asciiTheme="majorHAnsi" w:hAnsiTheme="majorHAnsi" w:cs="Times New Roman"/>
          <w:b/>
          <w:color w:val="auto"/>
          <w:sz w:val="22"/>
          <w:szCs w:val="22"/>
        </w:rPr>
        <w:t xml:space="preserve">Legislation </w:t>
      </w:r>
    </w:p>
    <w:p w14:paraId="56C20DE9" w14:textId="77777777" w:rsidR="000B05DE" w:rsidRPr="00307BB5" w:rsidRDefault="00FB6ACB" w:rsidP="000B05DE">
      <w:pPr>
        <w:pStyle w:val="Normal1"/>
        <w:contextualSpacing/>
        <w:rPr>
          <w:rFonts w:asciiTheme="majorHAnsi" w:hAnsiTheme="majorHAnsi" w:cs="Times New Roman"/>
          <w:i/>
          <w:color w:val="auto"/>
          <w:sz w:val="22"/>
          <w:szCs w:val="22"/>
        </w:rPr>
      </w:pPr>
      <w:r w:rsidRPr="00307BB5">
        <w:rPr>
          <w:rFonts w:asciiTheme="majorHAnsi" w:hAnsiTheme="majorHAnsi" w:cs="Times New Roman"/>
          <w:color w:val="auto"/>
          <w:sz w:val="22"/>
          <w:szCs w:val="22"/>
        </w:rPr>
        <w:t xml:space="preserve">The </w:t>
      </w:r>
      <w:r w:rsidR="000E2C39" w:rsidRPr="00307BB5">
        <w:rPr>
          <w:rFonts w:asciiTheme="majorHAnsi" w:hAnsiTheme="majorHAnsi" w:cs="Times New Roman"/>
          <w:color w:val="auto"/>
          <w:sz w:val="22"/>
          <w:szCs w:val="22"/>
        </w:rPr>
        <w:t>Pork Industry Board Act 1997 Section</w:t>
      </w:r>
      <w:r w:rsidR="002A72F2" w:rsidRPr="00307BB5">
        <w:rPr>
          <w:rFonts w:asciiTheme="majorHAnsi" w:hAnsiTheme="majorHAnsi" w:cs="Times New Roman"/>
          <w:color w:val="auto"/>
          <w:sz w:val="22"/>
          <w:szCs w:val="22"/>
        </w:rPr>
        <w:t xml:space="preserve"> 6 (8) </w:t>
      </w:r>
      <w:r w:rsidR="000E0F80" w:rsidRPr="00307BB5">
        <w:rPr>
          <w:rFonts w:asciiTheme="majorHAnsi" w:hAnsiTheme="majorHAnsi" w:cs="Times New Roman"/>
          <w:color w:val="auto"/>
          <w:sz w:val="22"/>
          <w:szCs w:val="22"/>
        </w:rPr>
        <w:t xml:space="preserve">Board Functions </w:t>
      </w:r>
      <w:r w:rsidR="001E78A9" w:rsidRPr="00307BB5">
        <w:rPr>
          <w:rFonts w:asciiTheme="majorHAnsi" w:hAnsiTheme="majorHAnsi" w:cs="Times New Roman"/>
          <w:color w:val="auto"/>
          <w:sz w:val="22"/>
          <w:szCs w:val="22"/>
        </w:rPr>
        <w:t>provides that the NZPork Board</w:t>
      </w:r>
      <w:r w:rsidR="002A72F2" w:rsidRPr="00307BB5">
        <w:rPr>
          <w:rFonts w:asciiTheme="majorHAnsi" w:hAnsiTheme="majorHAnsi" w:cs="Times New Roman"/>
          <w:color w:val="auto"/>
          <w:sz w:val="22"/>
          <w:szCs w:val="22"/>
        </w:rPr>
        <w:t xml:space="preserve"> </w:t>
      </w:r>
      <w:r w:rsidR="001E78A9" w:rsidRPr="00307BB5">
        <w:rPr>
          <w:rFonts w:asciiTheme="majorHAnsi" w:hAnsiTheme="majorHAnsi" w:cs="Times New Roman"/>
          <w:i/>
          <w:color w:val="auto"/>
          <w:sz w:val="22"/>
          <w:szCs w:val="22"/>
        </w:rPr>
        <w:t>‘</w:t>
      </w:r>
      <w:r w:rsidR="002A72F2" w:rsidRPr="00307BB5">
        <w:rPr>
          <w:rFonts w:asciiTheme="majorHAnsi" w:hAnsiTheme="majorHAnsi" w:cs="Times New Roman"/>
          <w:i/>
          <w:color w:val="auto"/>
          <w:sz w:val="22"/>
          <w:szCs w:val="22"/>
        </w:rPr>
        <w:t>In the exercise of its functions, the Board must have regard to the need for it to have adequate financial</w:t>
      </w:r>
      <w:r w:rsidR="001E78A9" w:rsidRPr="00307BB5">
        <w:rPr>
          <w:rFonts w:asciiTheme="majorHAnsi" w:hAnsiTheme="majorHAnsi" w:cs="Times New Roman"/>
          <w:i/>
          <w:color w:val="auto"/>
          <w:sz w:val="22"/>
          <w:szCs w:val="22"/>
        </w:rPr>
        <w:t xml:space="preserve"> </w:t>
      </w:r>
      <w:r w:rsidR="002A72F2" w:rsidRPr="00307BB5">
        <w:rPr>
          <w:rFonts w:asciiTheme="majorHAnsi" w:hAnsiTheme="majorHAnsi" w:cs="Times New Roman"/>
          <w:i/>
          <w:color w:val="auto"/>
          <w:sz w:val="22"/>
          <w:szCs w:val="22"/>
        </w:rPr>
        <w:t>reserves</w:t>
      </w:r>
      <w:r w:rsidR="001E78A9" w:rsidRPr="00307BB5">
        <w:rPr>
          <w:rFonts w:asciiTheme="majorHAnsi" w:hAnsiTheme="majorHAnsi" w:cs="Times New Roman"/>
          <w:i/>
          <w:color w:val="auto"/>
          <w:sz w:val="22"/>
          <w:szCs w:val="22"/>
        </w:rPr>
        <w:t>’</w:t>
      </w:r>
      <w:r w:rsidR="002A72F2" w:rsidRPr="00307BB5">
        <w:rPr>
          <w:rFonts w:asciiTheme="majorHAnsi" w:hAnsiTheme="majorHAnsi" w:cs="Times New Roman"/>
          <w:i/>
          <w:color w:val="auto"/>
          <w:sz w:val="22"/>
          <w:szCs w:val="22"/>
        </w:rPr>
        <w:t>.</w:t>
      </w:r>
    </w:p>
    <w:p w14:paraId="50B18E5C" w14:textId="77777777" w:rsidR="000B05DE" w:rsidRPr="00307BB5" w:rsidRDefault="000B05DE" w:rsidP="000B05DE">
      <w:pPr>
        <w:pStyle w:val="Normal1"/>
        <w:contextualSpacing/>
        <w:rPr>
          <w:rFonts w:asciiTheme="majorHAnsi" w:hAnsiTheme="majorHAnsi" w:cs="Times New Roman"/>
          <w:color w:val="auto"/>
          <w:sz w:val="22"/>
          <w:szCs w:val="22"/>
        </w:rPr>
      </w:pPr>
    </w:p>
    <w:p w14:paraId="0A4AB94D" w14:textId="27EA170D" w:rsidR="002A5538" w:rsidRPr="00307BB5" w:rsidRDefault="000B05DE" w:rsidP="000B05DE">
      <w:pPr>
        <w:pStyle w:val="Normal1"/>
        <w:contextualSpacing/>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The Pork Industry Board Act does not </w:t>
      </w:r>
      <w:r w:rsidR="000A46C6" w:rsidRPr="00307BB5">
        <w:rPr>
          <w:rFonts w:asciiTheme="majorHAnsi" w:hAnsiTheme="majorHAnsi" w:cs="Times New Roman"/>
          <w:color w:val="auto"/>
          <w:sz w:val="22"/>
          <w:szCs w:val="22"/>
        </w:rPr>
        <w:t xml:space="preserve">provide any further requirements but some inferences can be made based on what the </w:t>
      </w:r>
      <w:r w:rsidRPr="00307BB5">
        <w:rPr>
          <w:rFonts w:asciiTheme="majorHAnsi" w:hAnsiTheme="majorHAnsi" w:cs="Times New Roman"/>
          <w:color w:val="auto"/>
          <w:sz w:val="22"/>
          <w:szCs w:val="22"/>
        </w:rPr>
        <w:t>Act states regarding to assets</w:t>
      </w:r>
      <w:r w:rsidR="000A46C6" w:rsidRPr="00307BB5">
        <w:rPr>
          <w:rFonts w:asciiTheme="majorHAnsi" w:hAnsiTheme="majorHAnsi" w:cs="Times New Roman"/>
          <w:color w:val="auto"/>
          <w:sz w:val="22"/>
          <w:szCs w:val="22"/>
        </w:rPr>
        <w:t xml:space="preserve">- </w:t>
      </w:r>
      <w:r w:rsidR="001E78A9" w:rsidRPr="00307BB5">
        <w:rPr>
          <w:rFonts w:asciiTheme="majorHAnsi" w:hAnsiTheme="majorHAnsi" w:cs="Times New Roman"/>
          <w:color w:val="auto"/>
          <w:sz w:val="22"/>
          <w:szCs w:val="22"/>
        </w:rPr>
        <w:t xml:space="preserve">Section 4 (4) </w:t>
      </w:r>
      <w:r w:rsidR="000E0F80" w:rsidRPr="00307BB5">
        <w:rPr>
          <w:rFonts w:asciiTheme="majorHAnsi" w:hAnsiTheme="majorHAnsi" w:cs="Times New Roman"/>
          <w:i/>
          <w:color w:val="auto"/>
          <w:sz w:val="22"/>
          <w:szCs w:val="22"/>
        </w:rPr>
        <w:t>The Board's</w:t>
      </w:r>
      <w:r w:rsidR="001E78A9" w:rsidRPr="00307BB5">
        <w:rPr>
          <w:rFonts w:asciiTheme="majorHAnsi" w:hAnsiTheme="majorHAnsi" w:cs="Times New Roman"/>
          <w:i/>
          <w:color w:val="auto"/>
          <w:sz w:val="22"/>
          <w:szCs w:val="22"/>
        </w:rPr>
        <w:t xml:space="preserve"> </w:t>
      </w:r>
      <w:r w:rsidR="000E0F80" w:rsidRPr="00307BB5">
        <w:rPr>
          <w:rFonts w:asciiTheme="majorHAnsi" w:hAnsiTheme="majorHAnsi" w:cs="Times New Roman"/>
          <w:i/>
          <w:color w:val="auto"/>
          <w:sz w:val="22"/>
          <w:szCs w:val="22"/>
        </w:rPr>
        <w:t>assets</w:t>
      </w:r>
      <w:r w:rsidR="001E78A9" w:rsidRPr="00307BB5">
        <w:rPr>
          <w:rFonts w:asciiTheme="majorHAnsi" w:hAnsiTheme="majorHAnsi" w:cs="Times New Roman"/>
          <w:i/>
          <w:color w:val="auto"/>
          <w:sz w:val="22"/>
          <w:szCs w:val="22"/>
        </w:rPr>
        <w:t xml:space="preserve"> </w:t>
      </w:r>
      <w:r w:rsidR="000E0F80" w:rsidRPr="00307BB5">
        <w:rPr>
          <w:rFonts w:asciiTheme="majorHAnsi" w:hAnsiTheme="majorHAnsi" w:cs="Times New Roman"/>
          <w:i/>
          <w:color w:val="auto"/>
          <w:sz w:val="22"/>
          <w:szCs w:val="22"/>
        </w:rPr>
        <w:t>belong ultimately to pig farmers, and are for the time being held and administered for the benefit of pig farmers.</w:t>
      </w:r>
      <w:r w:rsidRPr="00307BB5">
        <w:rPr>
          <w:rFonts w:asciiTheme="majorHAnsi" w:hAnsiTheme="majorHAnsi" w:cs="Times New Roman"/>
          <w:color w:val="auto"/>
          <w:sz w:val="22"/>
          <w:szCs w:val="22"/>
        </w:rPr>
        <w:t>)</w:t>
      </w:r>
    </w:p>
    <w:p w14:paraId="58F69944" w14:textId="29E4D538" w:rsidR="00652072" w:rsidRPr="00307BB5" w:rsidRDefault="00652072" w:rsidP="000B05DE">
      <w:pPr>
        <w:pStyle w:val="Normal1"/>
        <w:contextualSpacing/>
        <w:rPr>
          <w:rFonts w:asciiTheme="majorHAnsi" w:hAnsiTheme="majorHAnsi" w:cs="Times New Roman"/>
          <w:color w:val="auto"/>
          <w:sz w:val="22"/>
          <w:szCs w:val="22"/>
        </w:rPr>
      </w:pPr>
    </w:p>
    <w:p w14:paraId="4AD49CC9" w14:textId="2A50A1B4" w:rsidR="00652072" w:rsidRPr="00307BB5" w:rsidRDefault="000A46C6" w:rsidP="000B05DE">
      <w:pPr>
        <w:pStyle w:val="Normal1"/>
        <w:contextualSpacing/>
        <w:rPr>
          <w:rFonts w:asciiTheme="majorHAnsi" w:hAnsiTheme="majorHAnsi" w:cs="Times New Roman"/>
          <w:i/>
          <w:color w:val="auto"/>
          <w:sz w:val="22"/>
          <w:szCs w:val="22"/>
        </w:rPr>
      </w:pPr>
      <w:r w:rsidRPr="00307BB5">
        <w:rPr>
          <w:rFonts w:asciiTheme="majorHAnsi" w:hAnsiTheme="majorHAnsi" w:cs="Times New Roman"/>
          <w:color w:val="auto"/>
          <w:sz w:val="22"/>
          <w:szCs w:val="22"/>
        </w:rPr>
        <w:t xml:space="preserve">There </w:t>
      </w:r>
      <w:proofErr w:type="gramStart"/>
      <w:r w:rsidRPr="00307BB5">
        <w:rPr>
          <w:rFonts w:asciiTheme="majorHAnsi" w:hAnsiTheme="majorHAnsi" w:cs="Times New Roman"/>
          <w:color w:val="auto"/>
          <w:sz w:val="22"/>
          <w:szCs w:val="22"/>
        </w:rPr>
        <w:t>is</w:t>
      </w:r>
      <w:proofErr w:type="gramEnd"/>
      <w:r w:rsidRPr="00307BB5">
        <w:rPr>
          <w:rFonts w:asciiTheme="majorHAnsi" w:hAnsiTheme="majorHAnsi" w:cs="Times New Roman"/>
          <w:color w:val="auto"/>
          <w:sz w:val="22"/>
          <w:szCs w:val="22"/>
        </w:rPr>
        <w:t xml:space="preserve"> also</w:t>
      </w:r>
      <w:r w:rsidR="009E7BFC" w:rsidRPr="00307BB5">
        <w:rPr>
          <w:rFonts w:asciiTheme="majorHAnsi" w:hAnsiTheme="majorHAnsi" w:cs="Times New Roman"/>
          <w:color w:val="auto"/>
          <w:sz w:val="22"/>
          <w:szCs w:val="22"/>
        </w:rPr>
        <w:t xml:space="preserve"> requirements regarding future income and assets</w:t>
      </w:r>
      <w:r w:rsidR="00652072" w:rsidRPr="00307BB5">
        <w:rPr>
          <w:rFonts w:asciiTheme="majorHAnsi" w:hAnsiTheme="majorHAnsi" w:cs="Times New Roman"/>
          <w:color w:val="auto"/>
          <w:sz w:val="22"/>
          <w:szCs w:val="22"/>
        </w:rPr>
        <w:t xml:space="preserve"> in Section 7</w:t>
      </w:r>
      <w:r w:rsidR="009E7BFC" w:rsidRPr="00307BB5">
        <w:rPr>
          <w:rFonts w:asciiTheme="majorHAnsi" w:hAnsiTheme="majorHAnsi" w:cs="Times New Roman"/>
          <w:color w:val="auto"/>
          <w:sz w:val="22"/>
          <w:szCs w:val="22"/>
        </w:rPr>
        <w:t xml:space="preserve"> </w:t>
      </w:r>
      <w:r w:rsidR="00652072" w:rsidRPr="00307BB5">
        <w:rPr>
          <w:rFonts w:asciiTheme="majorHAnsi" w:hAnsiTheme="majorHAnsi" w:cs="Times New Roman"/>
          <w:color w:val="auto"/>
          <w:sz w:val="22"/>
          <w:szCs w:val="22"/>
        </w:rPr>
        <w:t xml:space="preserve">Board to prepare and maintain statement of strategic and consultative intent and Section 11 (3). </w:t>
      </w:r>
      <w:r w:rsidR="00652072" w:rsidRPr="00307BB5">
        <w:rPr>
          <w:rFonts w:asciiTheme="majorHAnsi" w:hAnsiTheme="majorHAnsi" w:cs="Times New Roman"/>
          <w:i/>
          <w:color w:val="auto"/>
          <w:sz w:val="22"/>
          <w:szCs w:val="22"/>
        </w:rPr>
        <w:t>The Board must not exercise any of its rights, powers, or privileges, except for the purpose of:</w:t>
      </w:r>
    </w:p>
    <w:p w14:paraId="015A5C8D" w14:textId="6BA972A2" w:rsidR="00652072" w:rsidRPr="00307BB5" w:rsidRDefault="00652072" w:rsidP="00652072">
      <w:pPr>
        <w:pStyle w:val="labelled"/>
        <w:numPr>
          <w:ilvl w:val="0"/>
          <w:numId w:val="16"/>
        </w:numPr>
        <w:shd w:val="clear" w:color="auto" w:fill="FFFFFF"/>
        <w:spacing w:before="0" w:beforeAutospacing="0" w:after="0" w:afterAutospacing="0" w:line="288" w:lineRule="atLeast"/>
        <w:ind w:right="240"/>
        <w:textAlignment w:val="baseline"/>
        <w:rPr>
          <w:rFonts w:asciiTheme="majorHAnsi" w:eastAsia="Cambria" w:hAnsiTheme="majorHAnsi"/>
          <w:i/>
          <w:sz w:val="22"/>
          <w:szCs w:val="22"/>
          <w:lang w:eastAsia="en-US"/>
        </w:rPr>
      </w:pPr>
      <w:r w:rsidRPr="00307BB5">
        <w:rPr>
          <w:rFonts w:asciiTheme="majorHAnsi" w:eastAsia="Cambria" w:hAnsiTheme="majorHAnsi"/>
          <w:i/>
          <w:sz w:val="22"/>
          <w:szCs w:val="22"/>
          <w:lang w:eastAsia="en-US"/>
        </w:rPr>
        <w:t xml:space="preserve">(c) </w:t>
      </w:r>
      <w:proofErr w:type="gramStart"/>
      <w:r w:rsidRPr="00307BB5">
        <w:rPr>
          <w:rFonts w:asciiTheme="majorHAnsi" w:eastAsia="Cambria" w:hAnsiTheme="majorHAnsi"/>
          <w:i/>
          <w:sz w:val="22"/>
          <w:szCs w:val="22"/>
          <w:lang w:eastAsia="en-US"/>
        </w:rPr>
        <w:t>entering into</w:t>
      </w:r>
      <w:proofErr w:type="gramEnd"/>
      <w:r w:rsidRPr="00307BB5">
        <w:rPr>
          <w:rFonts w:asciiTheme="majorHAnsi" w:eastAsia="Cambria" w:hAnsiTheme="majorHAnsi"/>
          <w:i/>
          <w:sz w:val="22"/>
          <w:szCs w:val="22"/>
          <w:lang w:eastAsia="en-US"/>
        </w:rPr>
        <w:t xml:space="preserve"> any financial transaction or financial obligation intended to—</w:t>
      </w:r>
    </w:p>
    <w:p w14:paraId="029D30D1" w14:textId="062981CC" w:rsidR="00652072" w:rsidRPr="00307BB5" w:rsidRDefault="00652072" w:rsidP="00652072">
      <w:pPr>
        <w:pStyle w:val="labelled"/>
        <w:numPr>
          <w:ilvl w:val="1"/>
          <w:numId w:val="16"/>
        </w:numPr>
        <w:shd w:val="clear" w:color="auto" w:fill="FFFFFF"/>
        <w:spacing w:before="0" w:beforeAutospacing="0" w:after="0" w:afterAutospacing="0" w:line="288" w:lineRule="atLeast"/>
        <w:ind w:right="240"/>
        <w:textAlignment w:val="baseline"/>
        <w:rPr>
          <w:rFonts w:asciiTheme="majorHAnsi" w:eastAsia="Cambria" w:hAnsiTheme="majorHAnsi"/>
          <w:i/>
          <w:sz w:val="22"/>
          <w:szCs w:val="22"/>
          <w:lang w:eastAsia="en-US"/>
        </w:rPr>
      </w:pPr>
      <w:r w:rsidRPr="00307BB5">
        <w:rPr>
          <w:rFonts w:asciiTheme="majorHAnsi" w:eastAsia="Cambria" w:hAnsiTheme="majorHAnsi"/>
          <w:i/>
          <w:sz w:val="22"/>
          <w:szCs w:val="22"/>
          <w:lang w:eastAsia="en-US"/>
        </w:rPr>
        <w:t>(</w:t>
      </w:r>
      <w:proofErr w:type="spellStart"/>
      <w:r w:rsidRPr="00307BB5">
        <w:rPr>
          <w:rFonts w:asciiTheme="majorHAnsi" w:eastAsia="Cambria" w:hAnsiTheme="majorHAnsi"/>
          <w:i/>
          <w:sz w:val="22"/>
          <w:szCs w:val="22"/>
          <w:lang w:eastAsia="en-US"/>
        </w:rPr>
        <w:t>i</w:t>
      </w:r>
      <w:proofErr w:type="spellEnd"/>
      <w:r w:rsidRPr="00307BB5">
        <w:rPr>
          <w:rFonts w:asciiTheme="majorHAnsi" w:eastAsia="Cambria" w:hAnsiTheme="majorHAnsi"/>
          <w:i/>
          <w:sz w:val="22"/>
          <w:szCs w:val="22"/>
          <w:lang w:eastAsia="en-US"/>
        </w:rPr>
        <w:t>)</w:t>
      </w:r>
      <w:r w:rsidR="000A46C6" w:rsidRPr="00307BB5">
        <w:rPr>
          <w:rFonts w:asciiTheme="majorHAnsi" w:eastAsia="Cambria" w:hAnsiTheme="majorHAnsi"/>
          <w:i/>
          <w:sz w:val="22"/>
          <w:szCs w:val="22"/>
          <w:lang w:eastAsia="en-US"/>
        </w:rPr>
        <w:t xml:space="preserve"> </w:t>
      </w:r>
      <w:r w:rsidRPr="00307BB5">
        <w:rPr>
          <w:rFonts w:asciiTheme="majorHAnsi" w:eastAsia="Cambria" w:hAnsiTheme="majorHAnsi"/>
          <w:i/>
          <w:sz w:val="22"/>
          <w:szCs w:val="22"/>
          <w:lang w:eastAsia="en-US"/>
        </w:rPr>
        <w:t>avoid or lessen any present or possible future risk to the Board's current or future income or assets; or</w:t>
      </w:r>
    </w:p>
    <w:p w14:paraId="6366801E" w14:textId="23B14DC4" w:rsidR="00652072" w:rsidRPr="00307BB5" w:rsidRDefault="00652072" w:rsidP="00652072">
      <w:pPr>
        <w:pStyle w:val="labelled"/>
        <w:numPr>
          <w:ilvl w:val="1"/>
          <w:numId w:val="16"/>
        </w:numPr>
        <w:shd w:val="clear" w:color="auto" w:fill="FFFFFF"/>
        <w:spacing w:before="0" w:beforeAutospacing="0" w:after="0" w:afterAutospacing="0" w:line="288" w:lineRule="atLeast"/>
        <w:ind w:right="240"/>
        <w:textAlignment w:val="baseline"/>
        <w:rPr>
          <w:rFonts w:asciiTheme="majorHAnsi" w:eastAsia="Cambria" w:hAnsiTheme="majorHAnsi"/>
          <w:i/>
          <w:sz w:val="22"/>
          <w:szCs w:val="22"/>
          <w:lang w:eastAsia="en-US"/>
        </w:rPr>
      </w:pPr>
      <w:r w:rsidRPr="00307BB5">
        <w:rPr>
          <w:rFonts w:asciiTheme="majorHAnsi" w:eastAsia="Cambria" w:hAnsiTheme="majorHAnsi"/>
          <w:i/>
          <w:sz w:val="22"/>
          <w:szCs w:val="22"/>
          <w:lang w:eastAsia="en-US"/>
        </w:rPr>
        <w:t>(ii)</w:t>
      </w:r>
      <w:r w:rsidR="000A46C6" w:rsidRPr="00307BB5">
        <w:rPr>
          <w:rFonts w:asciiTheme="majorHAnsi" w:eastAsia="Cambria" w:hAnsiTheme="majorHAnsi"/>
          <w:i/>
          <w:sz w:val="22"/>
          <w:szCs w:val="22"/>
          <w:lang w:eastAsia="en-US"/>
        </w:rPr>
        <w:t xml:space="preserve"> </w:t>
      </w:r>
      <w:r w:rsidRPr="00307BB5">
        <w:rPr>
          <w:rFonts w:asciiTheme="majorHAnsi" w:eastAsia="Cambria" w:hAnsiTheme="majorHAnsi"/>
          <w:i/>
          <w:sz w:val="22"/>
          <w:szCs w:val="22"/>
          <w:lang w:eastAsia="en-US"/>
        </w:rPr>
        <w:t>lessen any liability of the Board; or</w:t>
      </w:r>
    </w:p>
    <w:p w14:paraId="6E4DDB18" w14:textId="62F0ABF2" w:rsidR="00652072" w:rsidRPr="00307BB5" w:rsidRDefault="00652072" w:rsidP="00652072">
      <w:pPr>
        <w:pStyle w:val="labelled"/>
        <w:numPr>
          <w:ilvl w:val="1"/>
          <w:numId w:val="16"/>
        </w:numPr>
        <w:shd w:val="clear" w:color="auto" w:fill="FFFFFF"/>
        <w:spacing w:before="0" w:beforeAutospacing="0" w:after="0" w:afterAutospacing="0" w:line="288" w:lineRule="atLeast"/>
        <w:ind w:right="240"/>
        <w:textAlignment w:val="baseline"/>
        <w:rPr>
          <w:rFonts w:asciiTheme="majorHAnsi" w:eastAsia="Cambria" w:hAnsiTheme="majorHAnsi"/>
          <w:i/>
          <w:sz w:val="22"/>
          <w:szCs w:val="22"/>
          <w:lang w:eastAsia="en-US"/>
        </w:rPr>
      </w:pPr>
      <w:r w:rsidRPr="00307BB5">
        <w:rPr>
          <w:rFonts w:asciiTheme="majorHAnsi" w:eastAsia="Cambria" w:hAnsiTheme="majorHAnsi"/>
          <w:i/>
          <w:sz w:val="22"/>
          <w:szCs w:val="22"/>
          <w:lang w:eastAsia="en-US"/>
        </w:rPr>
        <w:t>(iii)</w:t>
      </w:r>
      <w:r w:rsidR="000A46C6" w:rsidRPr="00307BB5">
        <w:rPr>
          <w:rFonts w:asciiTheme="majorHAnsi" w:eastAsia="Cambria" w:hAnsiTheme="majorHAnsi"/>
          <w:i/>
          <w:sz w:val="22"/>
          <w:szCs w:val="22"/>
          <w:lang w:eastAsia="en-US"/>
        </w:rPr>
        <w:t xml:space="preserve"> </w:t>
      </w:r>
      <w:r w:rsidRPr="00307BB5">
        <w:rPr>
          <w:rFonts w:asciiTheme="majorHAnsi" w:eastAsia="Cambria" w:hAnsiTheme="majorHAnsi"/>
          <w:i/>
          <w:sz w:val="22"/>
          <w:szCs w:val="22"/>
          <w:lang w:eastAsia="en-US"/>
        </w:rPr>
        <w:t>avoid or lessen any possible future liability of the Board; or</w:t>
      </w:r>
    </w:p>
    <w:p w14:paraId="3BDB114B" w14:textId="7154D386" w:rsidR="00652072" w:rsidRPr="00307BB5" w:rsidRDefault="00652072" w:rsidP="00652072">
      <w:pPr>
        <w:pStyle w:val="labelled"/>
        <w:numPr>
          <w:ilvl w:val="1"/>
          <w:numId w:val="16"/>
        </w:numPr>
        <w:shd w:val="clear" w:color="auto" w:fill="FFFFFF"/>
        <w:spacing w:before="0" w:beforeAutospacing="0" w:after="0" w:afterAutospacing="0" w:line="288" w:lineRule="atLeast"/>
        <w:ind w:right="240"/>
        <w:textAlignment w:val="baseline"/>
        <w:rPr>
          <w:rFonts w:asciiTheme="majorHAnsi" w:eastAsia="Cambria" w:hAnsiTheme="majorHAnsi"/>
          <w:i/>
          <w:sz w:val="22"/>
          <w:szCs w:val="22"/>
          <w:lang w:eastAsia="en-US"/>
        </w:rPr>
      </w:pPr>
      <w:r w:rsidRPr="00307BB5">
        <w:rPr>
          <w:rFonts w:asciiTheme="majorHAnsi" w:eastAsia="Cambria" w:hAnsiTheme="majorHAnsi"/>
          <w:i/>
          <w:sz w:val="22"/>
          <w:szCs w:val="22"/>
          <w:lang w:eastAsia="en-US"/>
        </w:rPr>
        <w:t>(iv)</w:t>
      </w:r>
      <w:r w:rsidR="000A46C6" w:rsidRPr="00307BB5">
        <w:rPr>
          <w:rFonts w:asciiTheme="majorHAnsi" w:eastAsia="Cambria" w:hAnsiTheme="majorHAnsi"/>
          <w:i/>
          <w:sz w:val="22"/>
          <w:szCs w:val="22"/>
          <w:lang w:eastAsia="en-US"/>
        </w:rPr>
        <w:t xml:space="preserve"> </w:t>
      </w:r>
      <w:r w:rsidRPr="00307BB5">
        <w:rPr>
          <w:rFonts w:asciiTheme="majorHAnsi" w:eastAsia="Cambria" w:hAnsiTheme="majorHAnsi"/>
          <w:i/>
          <w:sz w:val="22"/>
          <w:szCs w:val="22"/>
          <w:lang w:eastAsia="en-US"/>
        </w:rPr>
        <w:t>maximise the Board's current or future income (whether net or gross).</w:t>
      </w:r>
    </w:p>
    <w:p w14:paraId="0A8EB3F3" w14:textId="37A22D43" w:rsidR="000E0F80" w:rsidRDefault="000E0F80" w:rsidP="001E78A9">
      <w:pPr>
        <w:pStyle w:val="Normal1"/>
        <w:contextualSpacing/>
        <w:jc w:val="both"/>
        <w:rPr>
          <w:rFonts w:asciiTheme="majorHAnsi" w:hAnsiTheme="majorHAnsi" w:cs="Times New Roman"/>
          <w:color w:val="auto"/>
          <w:sz w:val="22"/>
          <w:szCs w:val="22"/>
        </w:rPr>
      </w:pPr>
    </w:p>
    <w:p w14:paraId="63AF2EDE" w14:textId="5D59D725" w:rsidR="00307BB5" w:rsidRDefault="00307BB5" w:rsidP="001E78A9">
      <w:pPr>
        <w:pStyle w:val="Normal1"/>
        <w:contextualSpacing/>
        <w:jc w:val="both"/>
        <w:rPr>
          <w:rFonts w:asciiTheme="majorHAnsi" w:hAnsiTheme="majorHAnsi" w:cs="Times New Roman"/>
          <w:color w:val="auto"/>
          <w:sz w:val="22"/>
          <w:szCs w:val="22"/>
        </w:rPr>
      </w:pPr>
    </w:p>
    <w:p w14:paraId="0F3B9246" w14:textId="29D118E5" w:rsidR="009F1A0D" w:rsidRPr="009F1A0D" w:rsidRDefault="009F1A0D" w:rsidP="009F1A0D">
      <w:pPr>
        <w:pStyle w:val="Normal1"/>
        <w:contextualSpacing/>
        <w:jc w:val="both"/>
        <w:rPr>
          <w:rFonts w:asciiTheme="majorHAnsi" w:hAnsiTheme="majorHAnsi" w:cs="Times New Roman"/>
          <w:b/>
          <w:sz w:val="22"/>
          <w:szCs w:val="22"/>
        </w:rPr>
      </w:pPr>
      <w:r w:rsidRPr="009F1A0D">
        <w:rPr>
          <w:rFonts w:asciiTheme="majorHAnsi" w:hAnsiTheme="majorHAnsi" w:cs="Times New Roman"/>
          <w:b/>
          <w:sz w:val="22"/>
          <w:szCs w:val="22"/>
        </w:rPr>
        <w:lastRenderedPageBreak/>
        <w:t xml:space="preserve">Reserves Policy </w:t>
      </w:r>
    </w:p>
    <w:p w14:paraId="6594DAD3" w14:textId="0C112AC4" w:rsidR="009F1A0D" w:rsidRPr="009F1A0D" w:rsidRDefault="009F1A0D" w:rsidP="009F1A0D">
      <w:pPr>
        <w:rPr>
          <w:rFonts w:asciiTheme="majorHAnsi" w:hAnsiTheme="majorHAnsi" w:cs="Times New Roman"/>
          <w:sz w:val="22"/>
          <w:szCs w:val="22"/>
        </w:rPr>
      </w:pPr>
      <w:r w:rsidRPr="009F1A0D">
        <w:rPr>
          <w:rFonts w:asciiTheme="majorHAnsi" w:hAnsiTheme="majorHAnsi" w:cs="Times New Roman"/>
          <w:sz w:val="22"/>
          <w:szCs w:val="22"/>
        </w:rPr>
        <w:t xml:space="preserve">The interest generated from </w:t>
      </w:r>
      <w:r w:rsidR="00100731">
        <w:rPr>
          <w:rFonts w:asciiTheme="majorHAnsi" w:hAnsiTheme="majorHAnsi" w:cs="Times New Roman"/>
          <w:sz w:val="22"/>
          <w:szCs w:val="22"/>
        </w:rPr>
        <w:t>investment</w:t>
      </w:r>
      <w:r w:rsidR="00A46738">
        <w:rPr>
          <w:rFonts w:asciiTheme="majorHAnsi" w:hAnsiTheme="majorHAnsi" w:cs="Times New Roman"/>
          <w:sz w:val="22"/>
          <w:szCs w:val="22"/>
        </w:rPr>
        <w:t>s</w:t>
      </w:r>
      <w:r w:rsidRPr="009F1A0D">
        <w:rPr>
          <w:rFonts w:asciiTheme="majorHAnsi" w:hAnsiTheme="majorHAnsi" w:cs="Times New Roman"/>
          <w:sz w:val="22"/>
          <w:szCs w:val="22"/>
        </w:rPr>
        <w:t xml:space="preserve"> is currently used for NZPork operational activities. This contributes, albeit in a small way, to reducing the levy. </w:t>
      </w:r>
    </w:p>
    <w:p w14:paraId="1A9BC458" w14:textId="77777777" w:rsidR="009F1A0D" w:rsidRPr="009F1A0D" w:rsidRDefault="009F1A0D" w:rsidP="009F1A0D">
      <w:pPr>
        <w:rPr>
          <w:rFonts w:asciiTheme="majorHAnsi" w:hAnsiTheme="majorHAnsi" w:cs="Times New Roman"/>
          <w:sz w:val="22"/>
          <w:szCs w:val="22"/>
        </w:rPr>
      </w:pPr>
    </w:p>
    <w:p w14:paraId="64C828D3" w14:textId="3412ECDB" w:rsidR="009F1A0D" w:rsidRPr="009F1A0D" w:rsidRDefault="009F1A0D" w:rsidP="009F1A0D">
      <w:pPr>
        <w:rPr>
          <w:rFonts w:asciiTheme="majorHAnsi" w:hAnsiTheme="majorHAnsi" w:cs="Times New Roman"/>
          <w:sz w:val="22"/>
          <w:szCs w:val="22"/>
        </w:rPr>
      </w:pPr>
      <w:r w:rsidRPr="009F1A0D">
        <w:rPr>
          <w:rFonts w:asciiTheme="majorHAnsi" w:hAnsiTheme="majorHAnsi" w:cs="Times New Roman"/>
          <w:sz w:val="22"/>
          <w:szCs w:val="22"/>
        </w:rPr>
        <w:t xml:space="preserve">NZPork maintains a current cash reserve level of $4 million. This </w:t>
      </w:r>
      <w:r w:rsidR="0010174F">
        <w:rPr>
          <w:rFonts w:asciiTheme="majorHAnsi" w:hAnsiTheme="majorHAnsi" w:cs="Times New Roman"/>
          <w:sz w:val="22"/>
          <w:szCs w:val="22"/>
        </w:rPr>
        <w:t xml:space="preserve">level </w:t>
      </w:r>
      <w:r w:rsidRPr="009F1A0D">
        <w:rPr>
          <w:rFonts w:asciiTheme="majorHAnsi" w:hAnsiTheme="majorHAnsi" w:cs="Times New Roman"/>
          <w:sz w:val="22"/>
          <w:szCs w:val="22"/>
        </w:rPr>
        <w:t xml:space="preserve">will be reviewed from time-to-time to ensure that cash reserves are </w:t>
      </w:r>
      <w:r w:rsidR="00304B19">
        <w:rPr>
          <w:rFonts w:asciiTheme="majorHAnsi" w:hAnsiTheme="majorHAnsi" w:cs="Times New Roman"/>
          <w:sz w:val="22"/>
          <w:szCs w:val="22"/>
        </w:rPr>
        <w:t>sufficient to cover at least 12 months</w:t>
      </w:r>
      <w:r w:rsidRPr="009F1A0D">
        <w:rPr>
          <w:rFonts w:asciiTheme="majorHAnsi" w:hAnsiTheme="majorHAnsi" w:cs="Times New Roman"/>
          <w:sz w:val="22"/>
          <w:szCs w:val="22"/>
        </w:rPr>
        <w:t xml:space="preserve"> operational expenditure.</w:t>
      </w:r>
    </w:p>
    <w:p w14:paraId="48856FF1" w14:textId="77777777" w:rsidR="009F1A0D" w:rsidRPr="009F1A0D" w:rsidRDefault="009F1A0D" w:rsidP="009F1A0D">
      <w:pPr>
        <w:rPr>
          <w:rFonts w:asciiTheme="majorHAnsi" w:hAnsiTheme="majorHAnsi" w:cs="Times New Roman"/>
          <w:sz w:val="22"/>
          <w:szCs w:val="22"/>
        </w:rPr>
      </w:pPr>
    </w:p>
    <w:p w14:paraId="42245E3F" w14:textId="77777777" w:rsidR="009F1A0D" w:rsidRPr="009F1A0D" w:rsidRDefault="009F1A0D" w:rsidP="009F1A0D">
      <w:pPr>
        <w:rPr>
          <w:rFonts w:asciiTheme="majorHAnsi" w:hAnsiTheme="majorHAnsi" w:cs="Times New Roman"/>
          <w:sz w:val="22"/>
          <w:szCs w:val="22"/>
        </w:rPr>
      </w:pPr>
      <w:r w:rsidRPr="009F1A0D">
        <w:rPr>
          <w:rFonts w:asciiTheme="majorHAnsi" w:hAnsiTheme="majorHAnsi" w:cs="Times New Roman"/>
          <w:sz w:val="22"/>
          <w:szCs w:val="22"/>
        </w:rPr>
        <w:t>In the event reserves are called on for unforeseen emergencies, such as a disease incursion, NZPork will ensure that, with industry agreement, a suitable levy that is over and above operational requirements, is set for as long as is required in order to return cash reserves to their original amount.</w:t>
      </w:r>
    </w:p>
    <w:p w14:paraId="08406DBB" w14:textId="77777777" w:rsidR="009F1A0D" w:rsidRPr="009F1A0D" w:rsidRDefault="009F1A0D" w:rsidP="009F1A0D">
      <w:pPr>
        <w:rPr>
          <w:rFonts w:asciiTheme="majorHAnsi" w:hAnsiTheme="majorHAnsi" w:cs="Times New Roman"/>
          <w:sz w:val="22"/>
          <w:szCs w:val="22"/>
        </w:rPr>
      </w:pPr>
    </w:p>
    <w:p w14:paraId="2ABE666B" w14:textId="77777777" w:rsidR="009F1A0D" w:rsidRPr="009F1A0D" w:rsidRDefault="009F1A0D" w:rsidP="009F1A0D">
      <w:pPr>
        <w:rPr>
          <w:rFonts w:asciiTheme="majorHAnsi" w:hAnsiTheme="majorHAnsi" w:cs="Times New Roman"/>
          <w:sz w:val="22"/>
          <w:szCs w:val="22"/>
        </w:rPr>
      </w:pPr>
      <w:proofErr w:type="gramStart"/>
      <w:r w:rsidRPr="009F1A0D">
        <w:rPr>
          <w:rFonts w:asciiTheme="majorHAnsi" w:hAnsiTheme="majorHAnsi" w:cs="Times New Roman"/>
          <w:sz w:val="22"/>
          <w:szCs w:val="22"/>
        </w:rPr>
        <w:t>In the event that</w:t>
      </w:r>
      <w:proofErr w:type="gramEnd"/>
      <w:r w:rsidRPr="009F1A0D">
        <w:rPr>
          <w:rFonts w:asciiTheme="majorHAnsi" w:hAnsiTheme="majorHAnsi" w:cs="Times New Roman"/>
          <w:sz w:val="22"/>
          <w:szCs w:val="22"/>
        </w:rPr>
        <w:t xml:space="preserve"> an industry crisis is likely to require funds over and above NZPork’s cash reserves, NZPork will consider borrowing funds, secured on fixed assets and cash reserves before the cash reserves are exhausted. Should this occur, NZPork will, with industry agreement, set a suitable levy that is over and above operational requirements in order to repay the loan over the agreed term. NZPork may also, with industry agreement, set a suitable levy that is over and above operational requirements for as long as is required in order to return cash reserves to their original amount. This process may occur at the same time the loan is being repaid.</w:t>
      </w:r>
    </w:p>
    <w:p w14:paraId="656BD549" w14:textId="77777777" w:rsidR="009F1A0D" w:rsidRPr="009F1A0D" w:rsidRDefault="009F1A0D" w:rsidP="009F1A0D">
      <w:pPr>
        <w:rPr>
          <w:rFonts w:asciiTheme="majorHAnsi" w:hAnsiTheme="majorHAnsi" w:cs="Times New Roman"/>
          <w:sz w:val="22"/>
          <w:szCs w:val="22"/>
        </w:rPr>
      </w:pPr>
    </w:p>
    <w:p w14:paraId="74E2371F" w14:textId="77777777" w:rsidR="009F1A0D" w:rsidRPr="009F1A0D" w:rsidRDefault="009F1A0D" w:rsidP="009F1A0D">
      <w:pPr>
        <w:spacing w:line="240" w:lineRule="exact"/>
        <w:rPr>
          <w:rFonts w:asciiTheme="majorHAnsi" w:hAnsiTheme="majorHAnsi" w:cs="Times New Roman"/>
          <w:sz w:val="22"/>
          <w:szCs w:val="22"/>
        </w:rPr>
      </w:pPr>
      <w:r w:rsidRPr="009F1A0D">
        <w:rPr>
          <w:rFonts w:asciiTheme="majorHAnsi" w:hAnsiTheme="majorHAnsi" w:cs="Times New Roman"/>
          <w:sz w:val="22"/>
          <w:szCs w:val="22"/>
        </w:rPr>
        <w:t>The Board has collected an additional levy since 2005/2006 to replenish the PMWS Reserve Fund.  Due to hardships in the pork industry, the industry decided not to replenish the PMWS reserve fund during the 2008/2009 financial year.  The PMWS reserve levy was reinstated for the 2009/2010 financial year.  At the 2010 AGM, the meeting decided not to continue replenishing the PMWS reserve fund starting 1 October 2010.</w:t>
      </w:r>
    </w:p>
    <w:p w14:paraId="256985CB" w14:textId="77777777" w:rsidR="009F1A0D" w:rsidRPr="009F1A0D" w:rsidRDefault="009F1A0D" w:rsidP="009F1A0D">
      <w:pPr>
        <w:rPr>
          <w:rFonts w:asciiTheme="majorHAnsi" w:hAnsiTheme="majorHAnsi" w:cs="Times New Roman"/>
          <w:sz w:val="22"/>
          <w:szCs w:val="22"/>
        </w:rPr>
      </w:pPr>
    </w:p>
    <w:p w14:paraId="14E8BE7C" w14:textId="0FE1A2BB" w:rsidR="009F1A0D" w:rsidRDefault="009F1A0D" w:rsidP="009F1A0D">
      <w:pPr>
        <w:spacing w:line="240" w:lineRule="exact"/>
        <w:rPr>
          <w:rFonts w:asciiTheme="majorHAnsi" w:hAnsiTheme="majorHAnsi" w:cs="Times New Roman"/>
          <w:sz w:val="22"/>
          <w:szCs w:val="22"/>
        </w:rPr>
      </w:pPr>
    </w:p>
    <w:p w14:paraId="37BAC60E" w14:textId="70B396E2" w:rsidR="00171CBF" w:rsidRPr="00307BB5" w:rsidRDefault="00C03EB5" w:rsidP="00171CBF">
      <w:pPr>
        <w:pStyle w:val="Normal1"/>
        <w:contextualSpacing/>
        <w:jc w:val="both"/>
        <w:rPr>
          <w:rFonts w:asciiTheme="majorHAnsi" w:hAnsiTheme="majorHAnsi" w:cs="Times New Roman"/>
          <w:b/>
          <w:color w:val="auto"/>
          <w:sz w:val="22"/>
          <w:szCs w:val="22"/>
        </w:rPr>
      </w:pPr>
      <w:bookmarkStart w:id="1" w:name="_Hlk483301751"/>
      <w:r w:rsidRPr="00307BB5">
        <w:rPr>
          <w:rFonts w:asciiTheme="majorHAnsi" w:hAnsiTheme="majorHAnsi" w:cs="Times New Roman"/>
          <w:b/>
          <w:color w:val="auto"/>
          <w:sz w:val="22"/>
          <w:szCs w:val="22"/>
        </w:rPr>
        <w:t>Funds Under Administration</w:t>
      </w:r>
    </w:p>
    <w:p w14:paraId="21320F94" w14:textId="77777777" w:rsidR="00171CBF" w:rsidRPr="00307BB5" w:rsidRDefault="00171CBF" w:rsidP="00C03EB5">
      <w:pPr>
        <w:outlineLvl w:val="1"/>
        <w:rPr>
          <w:rFonts w:asciiTheme="majorHAnsi" w:hAnsiTheme="majorHAnsi" w:cs="Times New Roman"/>
          <w:sz w:val="22"/>
          <w:szCs w:val="22"/>
          <w:u w:val="single"/>
        </w:rPr>
      </w:pPr>
    </w:p>
    <w:p w14:paraId="54E05E4C" w14:textId="243B12E5" w:rsidR="00C03EB5" w:rsidRPr="00307BB5" w:rsidRDefault="00C03EB5" w:rsidP="00C03EB5">
      <w:pPr>
        <w:outlineLvl w:val="1"/>
        <w:rPr>
          <w:rFonts w:asciiTheme="majorHAnsi" w:hAnsiTheme="majorHAnsi" w:cs="Times New Roman"/>
          <w:sz w:val="22"/>
          <w:szCs w:val="22"/>
          <w:u w:val="single"/>
        </w:rPr>
      </w:pPr>
      <w:r w:rsidRPr="00307BB5">
        <w:rPr>
          <w:rFonts w:asciiTheme="majorHAnsi" w:hAnsiTheme="majorHAnsi" w:cs="Times New Roman"/>
          <w:sz w:val="22"/>
          <w:szCs w:val="22"/>
          <w:u w:val="single"/>
        </w:rPr>
        <w:t>Regional Funds</w:t>
      </w:r>
    </w:p>
    <w:p w14:paraId="3E8E6A6B" w14:textId="77777777" w:rsidR="00C03EB5" w:rsidRPr="00307BB5" w:rsidRDefault="00C03EB5" w:rsidP="00C03EB5">
      <w:pPr>
        <w:rPr>
          <w:rFonts w:asciiTheme="majorHAnsi" w:hAnsiTheme="majorHAnsi" w:cs="Times New Roman"/>
          <w:sz w:val="22"/>
          <w:szCs w:val="22"/>
        </w:rPr>
      </w:pPr>
    </w:p>
    <w:p w14:paraId="619FD9D2" w14:textId="393585A7" w:rsidR="00100FB5" w:rsidRDefault="00C03EB5" w:rsidP="00307BB5">
      <w:pPr>
        <w:rPr>
          <w:rFonts w:asciiTheme="majorHAnsi" w:hAnsiTheme="majorHAnsi" w:cs="Times New Roman"/>
          <w:color w:val="auto"/>
          <w:sz w:val="22"/>
          <w:szCs w:val="22"/>
        </w:rPr>
      </w:pPr>
      <w:r w:rsidRPr="008D40B5">
        <w:rPr>
          <w:rFonts w:asciiTheme="majorHAnsi" w:hAnsiTheme="majorHAnsi" w:cs="Times New Roman"/>
          <w:color w:val="auto"/>
          <w:sz w:val="22"/>
          <w:szCs w:val="22"/>
        </w:rPr>
        <w:t>NZPork also continues to administer the Ward Funds, which total</w:t>
      </w:r>
      <w:r w:rsidRPr="00CD090A">
        <w:rPr>
          <w:rFonts w:asciiTheme="majorHAnsi" w:hAnsiTheme="majorHAnsi" w:cs="Times New Roman"/>
          <w:color w:val="auto"/>
          <w:sz w:val="22"/>
          <w:szCs w:val="22"/>
        </w:rPr>
        <w:t xml:space="preserve"> </w:t>
      </w:r>
      <w:r w:rsidR="00307BB5" w:rsidRPr="00CD090A">
        <w:rPr>
          <w:rFonts w:asciiTheme="majorHAnsi" w:hAnsiTheme="majorHAnsi" w:cs="Times New Roman"/>
          <w:color w:val="auto"/>
          <w:sz w:val="22"/>
          <w:szCs w:val="22"/>
        </w:rPr>
        <w:t>$</w:t>
      </w:r>
      <w:r w:rsidR="005D2979">
        <w:rPr>
          <w:rFonts w:asciiTheme="majorHAnsi" w:hAnsiTheme="majorHAnsi" w:cs="Times New Roman"/>
          <w:color w:val="auto"/>
          <w:sz w:val="22"/>
          <w:szCs w:val="22"/>
        </w:rPr>
        <w:t>3</w:t>
      </w:r>
      <w:r w:rsidR="00DD29EC">
        <w:rPr>
          <w:rFonts w:asciiTheme="majorHAnsi" w:hAnsiTheme="majorHAnsi" w:cs="Times New Roman"/>
          <w:color w:val="auto"/>
          <w:sz w:val="22"/>
          <w:szCs w:val="22"/>
        </w:rPr>
        <w:t>2</w:t>
      </w:r>
      <w:r w:rsidR="005D2979">
        <w:rPr>
          <w:rFonts w:asciiTheme="majorHAnsi" w:hAnsiTheme="majorHAnsi" w:cs="Times New Roman"/>
          <w:color w:val="auto"/>
          <w:sz w:val="22"/>
          <w:szCs w:val="22"/>
        </w:rPr>
        <w:t>,</w:t>
      </w:r>
      <w:r w:rsidR="00DD29EC">
        <w:rPr>
          <w:rFonts w:asciiTheme="majorHAnsi" w:hAnsiTheme="majorHAnsi" w:cs="Times New Roman"/>
          <w:color w:val="auto"/>
          <w:sz w:val="22"/>
          <w:szCs w:val="22"/>
        </w:rPr>
        <w:t>0</w:t>
      </w:r>
      <w:r w:rsidR="005D2979">
        <w:rPr>
          <w:rFonts w:asciiTheme="majorHAnsi" w:hAnsiTheme="majorHAnsi" w:cs="Times New Roman"/>
          <w:color w:val="auto"/>
          <w:sz w:val="22"/>
          <w:szCs w:val="22"/>
        </w:rPr>
        <w:t>45</w:t>
      </w:r>
      <w:r w:rsidR="00307BB5" w:rsidRPr="00CD090A">
        <w:rPr>
          <w:rFonts w:asciiTheme="majorHAnsi" w:hAnsiTheme="majorHAnsi" w:cs="Times New Roman"/>
          <w:color w:val="auto"/>
          <w:sz w:val="22"/>
          <w:szCs w:val="22"/>
        </w:rPr>
        <w:t xml:space="preserve"> (as at </w:t>
      </w:r>
      <w:r w:rsidR="005D2979">
        <w:rPr>
          <w:rFonts w:asciiTheme="majorHAnsi" w:hAnsiTheme="majorHAnsi" w:cs="Times New Roman"/>
          <w:color w:val="auto"/>
          <w:sz w:val="22"/>
          <w:szCs w:val="22"/>
        </w:rPr>
        <w:t>30 September 201</w:t>
      </w:r>
      <w:r w:rsidR="00DD29EC">
        <w:rPr>
          <w:rFonts w:asciiTheme="majorHAnsi" w:hAnsiTheme="majorHAnsi" w:cs="Times New Roman"/>
          <w:color w:val="auto"/>
          <w:sz w:val="22"/>
          <w:szCs w:val="22"/>
        </w:rPr>
        <w:t>9</w:t>
      </w:r>
      <w:r w:rsidR="00307BB5" w:rsidRPr="00CD090A">
        <w:rPr>
          <w:rFonts w:asciiTheme="majorHAnsi" w:hAnsiTheme="majorHAnsi" w:cs="Times New Roman"/>
          <w:color w:val="auto"/>
          <w:sz w:val="22"/>
          <w:szCs w:val="22"/>
        </w:rPr>
        <w:t>)</w:t>
      </w:r>
      <w:r w:rsidRPr="008D40B5">
        <w:rPr>
          <w:rFonts w:asciiTheme="majorHAnsi" w:hAnsiTheme="majorHAnsi" w:cs="Times New Roman"/>
          <w:color w:val="auto"/>
          <w:sz w:val="22"/>
          <w:szCs w:val="22"/>
        </w:rPr>
        <w:t xml:space="preserve">. Ward Funds are </w:t>
      </w:r>
      <w:r w:rsidR="009A070D">
        <w:rPr>
          <w:rFonts w:asciiTheme="majorHAnsi" w:hAnsiTheme="majorHAnsi" w:cs="Times New Roman"/>
          <w:color w:val="auto"/>
          <w:sz w:val="22"/>
          <w:szCs w:val="22"/>
        </w:rPr>
        <w:t xml:space="preserve">currently </w:t>
      </w:r>
      <w:r w:rsidRPr="008D40B5">
        <w:rPr>
          <w:rFonts w:asciiTheme="majorHAnsi" w:hAnsiTheme="majorHAnsi" w:cs="Times New Roman"/>
          <w:color w:val="auto"/>
          <w:sz w:val="22"/>
          <w:szCs w:val="22"/>
        </w:rPr>
        <w:t xml:space="preserve">invested on </w:t>
      </w:r>
      <w:r w:rsidR="00B6602C">
        <w:rPr>
          <w:rFonts w:asciiTheme="majorHAnsi" w:hAnsiTheme="majorHAnsi" w:cs="Times New Roman"/>
          <w:color w:val="auto"/>
          <w:sz w:val="22"/>
          <w:szCs w:val="22"/>
        </w:rPr>
        <w:t>six monthly</w:t>
      </w:r>
      <w:r w:rsidRPr="008D40B5">
        <w:rPr>
          <w:rFonts w:asciiTheme="majorHAnsi" w:hAnsiTheme="majorHAnsi" w:cs="Times New Roman"/>
          <w:color w:val="auto"/>
          <w:sz w:val="22"/>
          <w:szCs w:val="22"/>
        </w:rPr>
        <w:t xml:space="preserve"> terms with </w:t>
      </w:r>
      <w:r w:rsidR="00B6602C">
        <w:rPr>
          <w:rFonts w:asciiTheme="majorHAnsi" w:hAnsiTheme="majorHAnsi" w:cs="Times New Roman"/>
          <w:color w:val="auto"/>
          <w:sz w:val="22"/>
          <w:szCs w:val="22"/>
        </w:rPr>
        <w:t>2 September</w:t>
      </w:r>
      <w:r w:rsidR="009A070D">
        <w:rPr>
          <w:rFonts w:asciiTheme="majorHAnsi" w:hAnsiTheme="majorHAnsi" w:cs="Times New Roman"/>
          <w:color w:val="auto"/>
          <w:sz w:val="22"/>
          <w:szCs w:val="22"/>
        </w:rPr>
        <w:t xml:space="preserve"> 20</w:t>
      </w:r>
      <w:r w:rsidR="00B6602C">
        <w:rPr>
          <w:rFonts w:asciiTheme="majorHAnsi" w:hAnsiTheme="majorHAnsi" w:cs="Times New Roman"/>
          <w:color w:val="auto"/>
          <w:sz w:val="22"/>
          <w:szCs w:val="22"/>
        </w:rPr>
        <w:t>20</w:t>
      </w:r>
      <w:r w:rsidR="00E40AA4">
        <w:rPr>
          <w:rFonts w:asciiTheme="majorHAnsi" w:hAnsiTheme="majorHAnsi" w:cs="Times New Roman"/>
          <w:color w:val="auto"/>
          <w:sz w:val="22"/>
          <w:szCs w:val="22"/>
        </w:rPr>
        <w:t xml:space="preserve"> </w:t>
      </w:r>
      <w:r w:rsidRPr="008D40B5">
        <w:rPr>
          <w:rFonts w:asciiTheme="majorHAnsi" w:hAnsiTheme="majorHAnsi" w:cs="Times New Roman"/>
          <w:color w:val="auto"/>
          <w:sz w:val="22"/>
          <w:szCs w:val="22"/>
        </w:rPr>
        <w:t>being the next maturity date.</w:t>
      </w:r>
    </w:p>
    <w:p w14:paraId="23DF172E" w14:textId="77777777" w:rsidR="00100FB5" w:rsidRDefault="00100FB5" w:rsidP="00307BB5">
      <w:pPr>
        <w:rPr>
          <w:rFonts w:asciiTheme="majorHAnsi" w:hAnsiTheme="majorHAnsi" w:cs="Times New Roman"/>
          <w:color w:val="auto"/>
          <w:sz w:val="22"/>
          <w:szCs w:val="22"/>
        </w:rPr>
      </w:pPr>
    </w:p>
    <w:p w14:paraId="02AE7AF2" w14:textId="327B5262" w:rsidR="00086638" w:rsidRDefault="00100FB5" w:rsidP="00307BB5">
      <w:pPr>
        <w:rPr>
          <w:rFonts w:asciiTheme="majorHAnsi" w:hAnsiTheme="majorHAnsi" w:cs="Times New Roman"/>
          <w:color w:val="auto"/>
          <w:sz w:val="22"/>
          <w:szCs w:val="22"/>
        </w:rPr>
      </w:pPr>
      <w:r>
        <w:rPr>
          <w:rFonts w:asciiTheme="majorHAnsi" w:hAnsiTheme="majorHAnsi" w:cs="Times New Roman"/>
          <w:color w:val="auto"/>
          <w:sz w:val="22"/>
          <w:szCs w:val="22"/>
        </w:rPr>
        <w:t xml:space="preserve">Total Ward Funds </w:t>
      </w:r>
      <w:r w:rsidR="00086638">
        <w:rPr>
          <w:rFonts w:asciiTheme="majorHAnsi" w:hAnsiTheme="majorHAnsi" w:cs="Times New Roman"/>
          <w:color w:val="auto"/>
          <w:sz w:val="22"/>
          <w:szCs w:val="22"/>
        </w:rPr>
        <w:t>as at 30 September 201</w:t>
      </w:r>
      <w:r w:rsidR="008F6A0B">
        <w:rPr>
          <w:rFonts w:asciiTheme="majorHAnsi" w:hAnsiTheme="majorHAnsi" w:cs="Times New Roman"/>
          <w:color w:val="auto"/>
          <w:sz w:val="22"/>
          <w:szCs w:val="22"/>
        </w:rPr>
        <w:t>9</w:t>
      </w:r>
      <w:r w:rsidR="00086638">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are </w:t>
      </w:r>
      <w:r w:rsidR="00086638">
        <w:rPr>
          <w:rFonts w:asciiTheme="majorHAnsi" w:hAnsiTheme="majorHAnsi" w:cs="Times New Roman"/>
          <w:color w:val="auto"/>
          <w:sz w:val="22"/>
          <w:szCs w:val="22"/>
        </w:rPr>
        <w:t>analysed by Region as follows:</w:t>
      </w:r>
    </w:p>
    <w:p w14:paraId="50D8AF21" w14:textId="77777777" w:rsidR="00BE1767" w:rsidRDefault="00BE1767" w:rsidP="00307BB5">
      <w:pPr>
        <w:rPr>
          <w:rFonts w:asciiTheme="majorHAnsi" w:hAnsiTheme="majorHAnsi" w:cs="Times New Roman"/>
          <w:color w:val="auto"/>
          <w:sz w:val="22"/>
          <w:szCs w:val="22"/>
        </w:rPr>
      </w:pPr>
    </w:p>
    <w:p w14:paraId="3C8A2354" w14:textId="7E1DC695" w:rsidR="00BE1767" w:rsidRDefault="00BE1767" w:rsidP="00307BB5">
      <w:pPr>
        <w:rPr>
          <w:rFonts w:asciiTheme="majorHAnsi" w:hAnsiTheme="majorHAnsi" w:cs="Times New Roman"/>
          <w:color w:val="auto"/>
          <w:sz w:val="22"/>
          <w:szCs w:val="22"/>
        </w:rPr>
      </w:pPr>
      <w:r>
        <w:rPr>
          <w:rFonts w:asciiTheme="majorHAnsi" w:hAnsiTheme="majorHAnsi" w:cs="Times New Roman"/>
          <w:color w:val="auto"/>
          <w:sz w:val="22"/>
          <w:szCs w:val="22"/>
        </w:rPr>
        <w:tab/>
        <w:t>Region 1</w:t>
      </w:r>
      <w:r>
        <w:rPr>
          <w:rFonts w:asciiTheme="majorHAnsi" w:hAnsiTheme="majorHAnsi" w:cs="Times New Roman"/>
          <w:color w:val="auto"/>
          <w:sz w:val="22"/>
          <w:szCs w:val="22"/>
        </w:rPr>
        <w:tab/>
        <w:t>$ 19,</w:t>
      </w:r>
      <w:r w:rsidR="00AE25D1">
        <w:rPr>
          <w:rFonts w:asciiTheme="majorHAnsi" w:hAnsiTheme="majorHAnsi" w:cs="Times New Roman"/>
          <w:color w:val="auto"/>
          <w:sz w:val="22"/>
          <w:szCs w:val="22"/>
        </w:rPr>
        <w:t>413</w:t>
      </w:r>
    </w:p>
    <w:p w14:paraId="2C34603A" w14:textId="6011C8AC" w:rsidR="00BE1767" w:rsidRDefault="00BE1767" w:rsidP="00307BB5">
      <w:pPr>
        <w:rPr>
          <w:rFonts w:asciiTheme="majorHAnsi" w:hAnsiTheme="majorHAnsi" w:cs="Times New Roman"/>
          <w:color w:val="auto"/>
          <w:sz w:val="22"/>
          <w:szCs w:val="22"/>
        </w:rPr>
      </w:pPr>
      <w:r>
        <w:rPr>
          <w:rFonts w:asciiTheme="majorHAnsi" w:hAnsiTheme="majorHAnsi" w:cs="Times New Roman"/>
          <w:color w:val="auto"/>
          <w:sz w:val="22"/>
          <w:szCs w:val="22"/>
        </w:rPr>
        <w:tab/>
        <w:t>Region 2</w:t>
      </w:r>
      <w:r>
        <w:rPr>
          <w:rFonts w:asciiTheme="majorHAnsi" w:hAnsiTheme="majorHAnsi" w:cs="Times New Roman"/>
          <w:color w:val="auto"/>
          <w:sz w:val="22"/>
          <w:szCs w:val="22"/>
        </w:rPr>
        <w:tab/>
        <w:t>$</w:t>
      </w:r>
      <w:r w:rsidR="00AE25D1">
        <w:rPr>
          <w:rFonts w:asciiTheme="majorHAnsi" w:hAnsiTheme="majorHAnsi" w:cs="Times New Roman"/>
          <w:color w:val="auto"/>
          <w:sz w:val="22"/>
          <w:szCs w:val="22"/>
        </w:rPr>
        <w:t xml:space="preserve"> </w:t>
      </w:r>
      <w:r>
        <w:rPr>
          <w:rFonts w:asciiTheme="majorHAnsi" w:hAnsiTheme="majorHAnsi" w:cs="Times New Roman"/>
          <w:color w:val="auto"/>
          <w:sz w:val="22"/>
          <w:szCs w:val="22"/>
        </w:rPr>
        <w:t>12,</w:t>
      </w:r>
      <w:r w:rsidR="00AE25D1">
        <w:rPr>
          <w:rFonts w:asciiTheme="majorHAnsi" w:hAnsiTheme="majorHAnsi" w:cs="Times New Roman"/>
          <w:color w:val="auto"/>
          <w:sz w:val="22"/>
          <w:szCs w:val="22"/>
        </w:rPr>
        <w:t>632</w:t>
      </w:r>
    </w:p>
    <w:p w14:paraId="7DD1DD71" w14:textId="701477B9" w:rsidR="00C03EB5" w:rsidRPr="00CD090A" w:rsidRDefault="00BE1767" w:rsidP="00307BB5">
      <w:pPr>
        <w:rPr>
          <w:rFonts w:asciiTheme="majorHAnsi" w:hAnsiTheme="majorHAnsi" w:cs="Times New Roman"/>
          <w:color w:val="auto"/>
          <w:sz w:val="22"/>
          <w:szCs w:val="22"/>
        </w:rPr>
      </w:pPr>
      <w:r>
        <w:rPr>
          <w:rFonts w:asciiTheme="majorHAnsi" w:hAnsiTheme="majorHAnsi" w:cs="Times New Roman"/>
          <w:color w:val="auto"/>
          <w:sz w:val="22"/>
          <w:szCs w:val="22"/>
        </w:rPr>
        <w:tab/>
        <w:t>TOTAL</w:t>
      </w:r>
      <w:r>
        <w:rPr>
          <w:rFonts w:asciiTheme="majorHAnsi" w:hAnsiTheme="majorHAnsi" w:cs="Times New Roman"/>
          <w:color w:val="auto"/>
          <w:sz w:val="22"/>
          <w:szCs w:val="22"/>
        </w:rPr>
        <w:tab/>
      </w:r>
      <w:r w:rsidR="00C725A3">
        <w:rPr>
          <w:rFonts w:asciiTheme="majorHAnsi" w:hAnsiTheme="majorHAnsi" w:cs="Times New Roman"/>
          <w:color w:val="auto"/>
          <w:sz w:val="22"/>
          <w:szCs w:val="22"/>
        </w:rPr>
        <w:tab/>
        <w:t>$</w:t>
      </w:r>
      <w:r w:rsidR="00AE25D1">
        <w:rPr>
          <w:rFonts w:asciiTheme="majorHAnsi" w:hAnsiTheme="majorHAnsi" w:cs="Times New Roman"/>
          <w:color w:val="auto"/>
          <w:sz w:val="22"/>
          <w:szCs w:val="22"/>
        </w:rPr>
        <w:t xml:space="preserve"> </w:t>
      </w:r>
      <w:r w:rsidR="00C725A3">
        <w:rPr>
          <w:rFonts w:asciiTheme="majorHAnsi" w:hAnsiTheme="majorHAnsi" w:cs="Times New Roman"/>
          <w:color w:val="auto"/>
          <w:sz w:val="22"/>
          <w:szCs w:val="22"/>
        </w:rPr>
        <w:t>3</w:t>
      </w:r>
      <w:r w:rsidR="006E1818">
        <w:rPr>
          <w:rFonts w:asciiTheme="majorHAnsi" w:hAnsiTheme="majorHAnsi" w:cs="Times New Roman"/>
          <w:color w:val="auto"/>
          <w:sz w:val="22"/>
          <w:szCs w:val="22"/>
        </w:rPr>
        <w:t>2</w:t>
      </w:r>
      <w:r w:rsidR="00C725A3">
        <w:rPr>
          <w:rFonts w:asciiTheme="majorHAnsi" w:hAnsiTheme="majorHAnsi" w:cs="Times New Roman"/>
          <w:color w:val="auto"/>
          <w:sz w:val="22"/>
          <w:szCs w:val="22"/>
        </w:rPr>
        <w:t>,</w:t>
      </w:r>
      <w:r w:rsidR="006E1818">
        <w:rPr>
          <w:rFonts w:asciiTheme="majorHAnsi" w:hAnsiTheme="majorHAnsi" w:cs="Times New Roman"/>
          <w:color w:val="auto"/>
          <w:sz w:val="22"/>
          <w:szCs w:val="22"/>
        </w:rPr>
        <w:t>0</w:t>
      </w:r>
      <w:r w:rsidR="00C725A3">
        <w:rPr>
          <w:rFonts w:asciiTheme="majorHAnsi" w:hAnsiTheme="majorHAnsi" w:cs="Times New Roman"/>
          <w:color w:val="auto"/>
          <w:sz w:val="22"/>
          <w:szCs w:val="22"/>
        </w:rPr>
        <w:t>45</w:t>
      </w:r>
    </w:p>
    <w:p w14:paraId="191370BC" w14:textId="078DE8C5" w:rsidR="00307BB5" w:rsidRDefault="00307BB5" w:rsidP="00307BB5">
      <w:pPr>
        <w:rPr>
          <w:rFonts w:asciiTheme="majorHAnsi" w:hAnsiTheme="majorHAnsi" w:cs="Times New Roman"/>
          <w:sz w:val="22"/>
          <w:szCs w:val="22"/>
        </w:rPr>
      </w:pPr>
    </w:p>
    <w:p w14:paraId="6A27755A" w14:textId="0392A26B" w:rsidR="00307BB5" w:rsidRDefault="00307BB5" w:rsidP="00307BB5">
      <w:pPr>
        <w:rPr>
          <w:rFonts w:asciiTheme="majorHAnsi" w:hAnsiTheme="majorHAnsi" w:cs="Times New Roman"/>
          <w:sz w:val="22"/>
          <w:szCs w:val="22"/>
        </w:rPr>
      </w:pPr>
    </w:p>
    <w:p w14:paraId="2B6DA82E" w14:textId="24677FAA" w:rsidR="00307BB5" w:rsidRDefault="00307BB5" w:rsidP="00307BB5">
      <w:pPr>
        <w:rPr>
          <w:rFonts w:asciiTheme="majorHAnsi" w:hAnsiTheme="majorHAnsi" w:cs="Times New Roman"/>
          <w:sz w:val="22"/>
          <w:szCs w:val="22"/>
        </w:rPr>
      </w:pPr>
    </w:p>
    <w:p w14:paraId="31995F25" w14:textId="25FED54B" w:rsidR="00307BB5" w:rsidRDefault="00307BB5" w:rsidP="00307BB5">
      <w:pPr>
        <w:rPr>
          <w:rFonts w:asciiTheme="majorHAnsi" w:hAnsiTheme="majorHAnsi" w:cs="Times New Roman"/>
          <w:sz w:val="22"/>
          <w:szCs w:val="22"/>
        </w:rPr>
      </w:pPr>
    </w:p>
    <w:p w14:paraId="3C496C79" w14:textId="67D329B5" w:rsidR="005038E5" w:rsidRDefault="005038E5" w:rsidP="00307BB5">
      <w:pPr>
        <w:rPr>
          <w:rFonts w:asciiTheme="majorHAnsi" w:hAnsiTheme="majorHAnsi" w:cs="Times New Roman"/>
          <w:sz w:val="22"/>
          <w:szCs w:val="22"/>
        </w:rPr>
      </w:pPr>
    </w:p>
    <w:p w14:paraId="2AF3F719" w14:textId="77777777" w:rsidR="005038E5" w:rsidRDefault="005038E5" w:rsidP="00307BB5">
      <w:pPr>
        <w:rPr>
          <w:rFonts w:asciiTheme="majorHAnsi" w:hAnsiTheme="majorHAnsi" w:cs="Times New Roman"/>
          <w:sz w:val="22"/>
          <w:szCs w:val="22"/>
        </w:rPr>
      </w:pPr>
    </w:p>
    <w:p w14:paraId="5BDCC56B" w14:textId="3F8E84B8" w:rsidR="00B14731" w:rsidRDefault="00B14731" w:rsidP="00307BB5">
      <w:pPr>
        <w:rPr>
          <w:rFonts w:asciiTheme="majorHAnsi" w:hAnsiTheme="majorHAnsi" w:cs="Times New Roman"/>
          <w:sz w:val="22"/>
          <w:szCs w:val="22"/>
        </w:rPr>
      </w:pPr>
    </w:p>
    <w:p w14:paraId="5986616E" w14:textId="77777777" w:rsidR="00B14731" w:rsidRPr="00307BB5" w:rsidRDefault="00B14731" w:rsidP="00307BB5">
      <w:pPr>
        <w:rPr>
          <w:rFonts w:asciiTheme="majorHAnsi" w:hAnsiTheme="majorHAnsi" w:cs="Times New Roman"/>
          <w:sz w:val="22"/>
          <w:szCs w:val="22"/>
        </w:rPr>
      </w:pPr>
    </w:p>
    <w:p w14:paraId="04685B77" w14:textId="77777777" w:rsidR="00C03EB5" w:rsidRPr="00307BB5" w:rsidRDefault="00C03EB5" w:rsidP="00C03EB5">
      <w:pPr>
        <w:rPr>
          <w:rFonts w:asciiTheme="majorHAnsi" w:hAnsiTheme="majorHAnsi" w:cs="Times New Roman"/>
          <w:sz w:val="22"/>
          <w:szCs w:val="22"/>
          <w:u w:val="single"/>
        </w:rPr>
      </w:pPr>
      <w:r w:rsidRPr="00307BB5">
        <w:rPr>
          <w:rFonts w:asciiTheme="majorHAnsi" w:hAnsiTheme="majorHAnsi" w:cs="Times New Roman"/>
          <w:sz w:val="22"/>
          <w:szCs w:val="22"/>
          <w:u w:val="single"/>
        </w:rPr>
        <w:lastRenderedPageBreak/>
        <w:t>NZ Pig Breeders 75th Jubilee Fund</w:t>
      </w:r>
    </w:p>
    <w:p w14:paraId="3289A2CC" w14:textId="77777777" w:rsidR="00C03EB5" w:rsidRPr="00A04ABC" w:rsidRDefault="00C03EB5" w:rsidP="00C03EB5">
      <w:pPr>
        <w:rPr>
          <w:rFonts w:asciiTheme="majorHAnsi" w:hAnsiTheme="majorHAnsi" w:cs="Times New Roman"/>
          <w:sz w:val="22"/>
          <w:szCs w:val="22"/>
          <w:highlight w:val="yellow"/>
        </w:rPr>
      </w:pPr>
    </w:p>
    <w:p w14:paraId="65373949" w14:textId="3470F5E2" w:rsidR="00C03EB5" w:rsidRPr="008D40B5" w:rsidRDefault="00C03EB5" w:rsidP="00C03EB5">
      <w:pPr>
        <w:jc w:val="both"/>
        <w:rPr>
          <w:rFonts w:asciiTheme="majorHAnsi" w:hAnsiTheme="majorHAnsi" w:cs="Times New Roman"/>
          <w:color w:val="auto"/>
          <w:sz w:val="22"/>
          <w:szCs w:val="22"/>
        </w:rPr>
      </w:pPr>
      <w:r w:rsidRPr="008D40B5">
        <w:rPr>
          <w:rFonts w:asciiTheme="majorHAnsi" w:hAnsiTheme="majorHAnsi" w:cs="Times New Roman"/>
          <w:color w:val="auto"/>
          <w:sz w:val="22"/>
          <w:szCs w:val="22"/>
        </w:rPr>
        <w:t>The New Zealand Pork Industry Board took over the administration of the NZ Pig Breeders 75th Jubilee Fund</w:t>
      </w:r>
      <w:r w:rsidR="00307BB5" w:rsidRPr="008D40B5">
        <w:rPr>
          <w:rFonts w:asciiTheme="majorHAnsi" w:hAnsiTheme="majorHAnsi" w:cs="Times New Roman"/>
          <w:color w:val="auto"/>
          <w:sz w:val="22"/>
          <w:szCs w:val="22"/>
        </w:rPr>
        <w:t xml:space="preserve"> during April 2008.  The fund totalling</w:t>
      </w:r>
      <w:r w:rsidRPr="00CD090A">
        <w:rPr>
          <w:rFonts w:asciiTheme="majorHAnsi" w:hAnsiTheme="majorHAnsi" w:cs="Times New Roman"/>
          <w:color w:val="auto"/>
          <w:sz w:val="22"/>
          <w:szCs w:val="22"/>
        </w:rPr>
        <w:t xml:space="preserve"> $</w:t>
      </w:r>
      <w:r w:rsidR="004B45DB">
        <w:rPr>
          <w:rFonts w:asciiTheme="majorHAnsi" w:hAnsiTheme="majorHAnsi" w:cs="Times New Roman"/>
          <w:color w:val="auto"/>
          <w:sz w:val="22"/>
          <w:szCs w:val="22"/>
        </w:rPr>
        <w:t>2</w:t>
      </w:r>
      <w:r w:rsidR="00260D20">
        <w:rPr>
          <w:rFonts w:asciiTheme="majorHAnsi" w:hAnsiTheme="majorHAnsi" w:cs="Times New Roman"/>
          <w:color w:val="auto"/>
          <w:sz w:val="22"/>
          <w:szCs w:val="22"/>
        </w:rPr>
        <w:t>8</w:t>
      </w:r>
      <w:r w:rsidR="004B45DB">
        <w:rPr>
          <w:rFonts w:asciiTheme="majorHAnsi" w:hAnsiTheme="majorHAnsi" w:cs="Times New Roman"/>
          <w:color w:val="auto"/>
          <w:sz w:val="22"/>
          <w:szCs w:val="22"/>
        </w:rPr>
        <w:t>,</w:t>
      </w:r>
      <w:r w:rsidR="00260D20">
        <w:rPr>
          <w:rFonts w:asciiTheme="majorHAnsi" w:hAnsiTheme="majorHAnsi" w:cs="Times New Roman"/>
          <w:color w:val="auto"/>
          <w:sz w:val="22"/>
          <w:szCs w:val="22"/>
        </w:rPr>
        <w:t>344</w:t>
      </w:r>
      <w:r w:rsidRPr="00CD090A">
        <w:rPr>
          <w:rFonts w:asciiTheme="majorHAnsi" w:hAnsiTheme="majorHAnsi" w:cs="Times New Roman"/>
          <w:color w:val="auto"/>
          <w:sz w:val="22"/>
          <w:szCs w:val="22"/>
        </w:rPr>
        <w:t xml:space="preserve"> </w:t>
      </w:r>
      <w:r w:rsidR="00307BB5" w:rsidRPr="00CD090A">
        <w:rPr>
          <w:rFonts w:asciiTheme="majorHAnsi" w:hAnsiTheme="majorHAnsi" w:cs="Times New Roman"/>
          <w:color w:val="auto"/>
          <w:sz w:val="22"/>
          <w:szCs w:val="22"/>
        </w:rPr>
        <w:t xml:space="preserve">(as at </w:t>
      </w:r>
      <w:r w:rsidR="00A23398">
        <w:rPr>
          <w:rFonts w:asciiTheme="majorHAnsi" w:hAnsiTheme="majorHAnsi" w:cs="Times New Roman"/>
          <w:color w:val="auto"/>
          <w:sz w:val="22"/>
          <w:szCs w:val="22"/>
        </w:rPr>
        <w:t>30 September 201</w:t>
      </w:r>
      <w:r w:rsidR="00260D20">
        <w:rPr>
          <w:rFonts w:asciiTheme="majorHAnsi" w:hAnsiTheme="majorHAnsi" w:cs="Times New Roman"/>
          <w:color w:val="auto"/>
          <w:sz w:val="22"/>
          <w:szCs w:val="22"/>
        </w:rPr>
        <w:t>9</w:t>
      </w:r>
      <w:r w:rsidR="00307BB5" w:rsidRPr="00CD090A">
        <w:rPr>
          <w:rFonts w:asciiTheme="majorHAnsi" w:hAnsiTheme="majorHAnsi" w:cs="Times New Roman"/>
          <w:color w:val="auto"/>
          <w:sz w:val="22"/>
          <w:szCs w:val="22"/>
        </w:rPr>
        <w:t>)</w:t>
      </w:r>
      <w:r w:rsidR="00307BB5" w:rsidRPr="008D40B5">
        <w:rPr>
          <w:rFonts w:asciiTheme="majorHAnsi" w:hAnsiTheme="majorHAnsi" w:cs="Times New Roman"/>
          <w:color w:val="auto"/>
          <w:sz w:val="22"/>
          <w:szCs w:val="22"/>
        </w:rPr>
        <w:t xml:space="preserve"> </w:t>
      </w:r>
      <w:r w:rsidRPr="008D40B5">
        <w:rPr>
          <w:rFonts w:asciiTheme="majorHAnsi" w:hAnsiTheme="majorHAnsi" w:cs="Times New Roman"/>
          <w:color w:val="auto"/>
          <w:sz w:val="22"/>
          <w:szCs w:val="22"/>
        </w:rPr>
        <w:t xml:space="preserve">has been invested for a term of </w:t>
      </w:r>
      <w:r w:rsidR="00582490">
        <w:rPr>
          <w:rFonts w:asciiTheme="majorHAnsi" w:hAnsiTheme="majorHAnsi" w:cs="Times New Roman"/>
          <w:color w:val="auto"/>
          <w:sz w:val="22"/>
          <w:szCs w:val="22"/>
        </w:rPr>
        <w:t>6 months</w:t>
      </w:r>
      <w:r w:rsidR="00CF09C7" w:rsidRPr="008D40B5">
        <w:rPr>
          <w:rFonts w:asciiTheme="majorHAnsi" w:hAnsiTheme="majorHAnsi" w:cs="Times New Roman"/>
          <w:color w:val="auto"/>
          <w:sz w:val="22"/>
          <w:szCs w:val="22"/>
        </w:rPr>
        <w:t xml:space="preserve"> </w:t>
      </w:r>
      <w:r w:rsidRPr="008D40B5">
        <w:rPr>
          <w:rFonts w:asciiTheme="majorHAnsi" w:hAnsiTheme="majorHAnsi" w:cs="Times New Roman"/>
          <w:color w:val="auto"/>
          <w:sz w:val="22"/>
          <w:szCs w:val="22"/>
        </w:rPr>
        <w:t xml:space="preserve">and matures on </w:t>
      </w:r>
      <w:r w:rsidR="00546242">
        <w:rPr>
          <w:rFonts w:asciiTheme="majorHAnsi" w:hAnsiTheme="majorHAnsi" w:cs="Times New Roman"/>
          <w:color w:val="auto"/>
          <w:sz w:val="22"/>
          <w:szCs w:val="22"/>
        </w:rPr>
        <w:t>2</w:t>
      </w:r>
      <w:r w:rsidR="00CF09C7">
        <w:rPr>
          <w:rFonts w:asciiTheme="majorHAnsi" w:hAnsiTheme="majorHAnsi" w:cs="Times New Roman"/>
          <w:color w:val="auto"/>
          <w:sz w:val="22"/>
          <w:szCs w:val="22"/>
        </w:rPr>
        <w:t xml:space="preserve"> </w:t>
      </w:r>
      <w:r w:rsidR="00546242">
        <w:rPr>
          <w:rFonts w:asciiTheme="majorHAnsi" w:hAnsiTheme="majorHAnsi" w:cs="Times New Roman"/>
          <w:color w:val="auto"/>
          <w:sz w:val="22"/>
          <w:szCs w:val="22"/>
        </w:rPr>
        <w:t>September</w:t>
      </w:r>
      <w:r w:rsidR="00CF09C7">
        <w:rPr>
          <w:rFonts w:asciiTheme="majorHAnsi" w:hAnsiTheme="majorHAnsi" w:cs="Times New Roman"/>
          <w:color w:val="auto"/>
          <w:sz w:val="22"/>
          <w:szCs w:val="22"/>
        </w:rPr>
        <w:t xml:space="preserve"> 20</w:t>
      </w:r>
      <w:r w:rsidR="00043F15">
        <w:rPr>
          <w:rFonts w:asciiTheme="majorHAnsi" w:hAnsiTheme="majorHAnsi" w:cs="Times New Roman"/>
          <w:color w:val="auto"/>
          <w:sz w:val="22"/>
          <w:szCs w:val="22"/>
        </w:rPr>
        <w:t>20</w:t>
      </w:r>
      <w:r w:rsidRPr="008D40B5">
        <w:rPr>
          <w:rFonts w:asciiTheme="majorHAnsi" w:hAnsiTheme="majorHAnsi" w:cs="Times New Roman"/>
          <w:color w:val="auto"/>
          <w:sz w:val="22"/>
          <w:szCs w:val="22"/>
        </w:rPr>
        <w:t>.  The fund comprises the</w:t>
      </w:r>
      <w:r w:rsidR="00307BB5" w:rsidRPr="008D40B5">
        <w:rPr>
          <w:rFonts w:asciiTheme="majorHAnsi" w:hAnsiTheme="majorHAnsi" w:cs="Times New Roman"/>
          <w:color w:val="auto"/>
          <w:sz w:val="22"/>
          <w:szCs w:val="22"/>
        </w:rPr>
        <w:t xml:space="preserve"> principal amount of</w:t>
      </w:r>
      <w:r w:rsidR="00307BB5" w:rsidRPr="00CD090A">
        <w:rPr>
          <w:rFonts w:asciiTheme="majorHAnsi" w:hAnsiTheme="majorHAnsi" w:cs="Times New Roman"/>
          <w:color w:val="auto"/>
          <w:sz w:val="22"/>
          <w:szCs w:val="22"/>
        </w:rPr>
        <w:t xml:space="preserve"> $19,300</w:t>
      </w:r>
      <w:r w:rsidR="00963270">
        <w:rPr>
          <w:rFonts w:asciiTheme="majorHAnsi" w:hAnsiTheme="majorHAnsi" w:cs="Times New Roman"/>
          <w:color w:val="auto"/>
          <w:sz w:val="22"/>
          <w:szCs w:val="22"/>
        </w:rPr>
        <w:t xml:space="preserve"> with the balance being accumulated interest earnings</w:t>
      </w:r>
      <w:r w:rsidR="00307BB5" w:rsidRPr="008D40B5">
        <w:rPr>
          <w:rFonts w:asciiTheme="majorHAnsi" w:hAnsiTheme="majorHAnsi" w:cs="Times New Roman"/>
          <w:color w:val="auto"/>
          <w:sz w:val="22"/>
          <w:szCs w:val="22"/>
        </w:rPr>
        <w:t xml:space="preserve">. </w:t>
      </w:r>
      <w:r w:rsidRPr="008D40B5">
        <w:rPr>
          <w:rFonts w:asciiTheme="majorHAnsi" w:hAnsiTheme="majorHAnsi" w:cs="Times New Roman"/>
          <w:color w:val="auto"/>
          <w:sz w:val="22"/>
          <w:szCs w:val="22"/>
        </w:rPr>
        <w:t>The intention of the fund is to only distribute the interest earnt.</w:t>
      </w:r>
    </w:p>
    <w:bookmarkEnd w:id="1"/>
    <w:p w14:paraId="129D82CF" w14:textId="77777777" w:rsidR="00C03EB5" w:rsidRPr="00CD090A" w:rsidRDefault="00C03EB5" w:rsidP="00C03EB5">
      <w:pPr>
        <w:jc w:val="both"/>
        <w:rPr>
          <w:rFonts w:asciiTheme="majorHAnsi" w:hAnsiTheme="majorHAnsi" w:cs="Times New Roman"/>
          <w:color w:val="auto"/>
          <w:sz w:val="22"/>
          <w:szCs w:val="22"/>
        </w:rPr>
      </w:pPr>
    </w:p>
    <w:p w14:paraId="3FAFF825" w14:textId="77777777" w:rsidR="00C03EB5" w:rsidRPr="00C03EB5" w:rsidRDefault="00C03EB5" w:rsidP="00C03EB5">
      <w:pPr>
        <w:jc w:val="both"/>
        <w:rPr>
          <w:rFonts w:asciiTheme="majorHAnsi" w:hAnsiTheme="majorHAnsi" w:cs="Times New Roman"/>
          <w:sz w:val="22"/>
          <w:szCs w:val="22"/>
        </w:rPr>
      </w:pPr>
      <w:r w:rsidRPr="00CD090A">
        <w:rPr>
          <w:rFonts w:asciiTheme="majorHAnsi" w:hAnsiTheme="majorHAnsi" w:cs="Times New Roman"/>
          <w:color w:val="auto"/>
          <w:sz w:val="22"/>
          <w:szCs w:val="22"/>
        </w:rPr>
        <w:t>The New Zeal</w:t>
      </w:r>
      <w:r w:rsidRPr="00C03EB5">
        <w:rPr>
          <w:rFonts w:asciiTheme="majorHAnsi" w:hAnsiTheme="majorHAnsi" w:cs="Times New Roman"/>
          <w:sz w:val="22"/>
          <w:szCs w:val="22"/>
        </w:rPr>
        <w:t xml:space="preserve">and Pig Breeders Association 75th Jubilee Trust Fund was established in 1990.  The purpose of the fund is to </w:t>
      </w:r>
      <w:proofErr w:type="gramStart"/>
      <w:r w:rsidRPr="00C03EB5">
        <w:rPr>
          <w:rFonts w:asciiTheme="majorHAnsi" w:hAnsiTheme="majorHAnsi" w:cs="Times New Roman"/>
          <w:sz w:val="22"/>
          <w:szCs w:val="22"/>
        </w:rPr>
        <w:t>provide assistance for</w:t>
      </w:r>
      <w:proofErr w:type="gramEnd"/>
      <w:r w:rsidRPr="00C03EB5">
        <w:rPr>
          <w:rFonts w:asciiTheme="majorHAnsi" w:hAnsiTheme="majorHAnsi" w:cs="Times New Roman"/>
          <w:sz w:val="22"/>
          <w:szCs w:val="22"/>
        </w:rPr>
        <w:t xml:space="preserve"> the training and education of people who have chosen a career in the pig industry.  </w:t>
      </w:r>
    </w:p>
    <w:p w14:paraId="5CCF7F14" w14:textId="77777777" w:rsidR="00C03EB5" w:rsidRPr="00C03EB5" w:rsidRDefault="00C03EB5" w:rsidP="00C03EB5">
      <w:pPr>
        <w:jc w:val="both"/>
        <w:rPr>
          <w:rFonts w:asciiTheme="majorHAnsi" w:hAnsiTheme="majorHAnsi" w:cs="Times New Roman"/>
          <w:sz w:val="22"/>
          <w:szCs w:val="22"/>
        </w:rPr>
      </w:pPr>
    </w:p>
    <w:p w14:paraId="1F4B01BA" w14:textId="1CDED4DE" w:rsidR="00C03EB5" w:rsidRPr="00C03EB5" w:rsidRDefault="00C03EB5" w:rsidP="00C03EB5">
      <w:pPr>
        <w:jc w:val="both"/>
        <w:rPr>
          <w:rFonts w:asciiTheme="majorHAnsi" w:hAnsiTheme="majorHAnsi" w:cs="Times New Roman"/>
          <w:sz w:val="22"/>
          <w:szCs w:val="22"/>
        </w:rPr>
      </w:pPr>
      <w:r w:rsidRPr="00C03EB5">
        <w:rPr>
          <w:rFonts w:asciiTheme="majorHAnsi" w:hAnsiTheme="majorHAnsi" w:cs="Times New Roman"/>
          <w:sz w:val="22"/>
          <w:szCs w:val="22"/>
        </w:rPr>
        <w:t xml:space="preserve">The interest generated by the fund’s capital investment is available for an approved applicant.  The allocation of grants is made by two </w:t>
      </w:r>
      <w:proofErr w:type="gramStart"/>
      <w:r w:rsidRPr="00C03EB5">
        <w:rPr>
          <w:rFonts w:asciiTheme="majorHAnsi" w:hAnsiTheme="majorHAnsi" w:cs="Times New Roman"/>
          <w:sz w:val="22"/>
          <w:szCs w:val="22"/>
        </w:rPr>
        <w:t>Trustees;</w:t>
      </w:r>
      <w:proofErr w:type="gramEnd"/>
      <w:r w:rsidRPr="00C03EB5">
        <w:rPr>
          <w:rFonts w:asciiTheme="majorHAnsi" w:hAnsiTheme="majorHAnsi" w:cs="Times New Roman"/>
          <w:sz w:val="22"/>
          <w:szCs w:val="22"/>
        </w:rPr>
        <w:t xml:space="preserve"> The New Zealand Pig Breeders Association and the New Zealand Pork Industry Board.  The Trustees will a</w:t>
      </w:r>
      <w:r w:rsidR="00380529">
        <w:rPr>
          <w:rFonts w:asciiTheme="majorHAnsi" w:hAnsiTheme="majorHAnsi" w:cs="Times New Roman"/>
          <w:sz w:val="22"/>
          <w:szCs w:val="22"/>
        </w:rPr>
        <w:t>ss</w:t>
      </w:r>
      <w:r w:rsidRPr="00C03EB5">
        <w:rPr>
          <w:rFonts w:asciiTheme="majorHAnsi" w:hAnsiTheme="majorHAnsi" w:cs="Times New Roman"/>
          <w:sz w:val="22"/>
          <w:szCs w:val="22"/>
        </w:rPr>
        <w:t>ess the merit of an application and make a grant taking into consideration the original intent of the fund and the available money in the interest pool at the time the application is made.</w:t>
      </w:r>
    </w:p>
    <w:p w14:paraId="4A7066C7" w14:textId="5E26043F" w:rsidR="00C03EB5" w:rsidRDefault="00C03EB5" w:rsidP="009F1A0D">
      <w:pPr>
        <w:spacing w:line="240" w:lineRule="exact"/>
        <w:rPr>
          <w:rFonts w:asciiTheme="majorHAnsi" w:hAnsiTheme="majorHAnsi" w:cs="Times New Roman"/>
          <w:sz w:val="22"/>
          <w:szCs w:val="22"/>
        </w:rPr>
      </w:pPr>
    </w:p>
    <w:p w14:paraId="3D23F205" w14:textId="79E8CA50" w:rsidR="009F1A0D" w:rsidRPr="00307BB5" w:rsidRDefault="009F1A0D" w:rsidP="009F1A0D">
      <w:pPr>
        <w:pStyle w:val="Normal1"/>
        <w:contextualSpacing/>
        <w:jc w:val="both"/>
        <w:rPr>
          <w:rFonts w:asciiTheme="majorHAnsi" w:hAnsiTheme="majorHAnsi" w:cs="Times New Roman"/>
          <w:b/>
          <w:color w:val="auto"/>
          <w:sz w:val="22"/>
          <w:szCs w:val="22"/>
        </w:rPr>
      </w:pPr>
      <w:r w:rsidRPr="00307BB5">
        <w:rPr>
          <w:rFonts w:asciiTheme="majorHAnsi" w:hAnsiTheme="majorHAnsi" w:cs="Times New Roman"/>
          <w:b/>
          <w:color w:val="auto"/>
          <w:sz w:val="22"/>
          <w:szCs w:val="22"/>
        </w:rPr>
        <w:t xml:space="preserve">Investment Summary </w:t>
      </w:r>
    </w:p>
    <w:p w14:paraId="72A65F90" w14:textId="34334CAF" w:rsidR="009F1A0D" w:rsidRPr="00307BB5" w:rsidRDefault="009F1A0D" w:rsidP="009F1A0D">
      <w:pPr>
        <w:pStyle w:val="Normal1"/>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Below is a summary of the investments for the previous financial year taken from the audited </w:t>
      </w:r>
      <w:r w:rsidR="00F51C73" w:rsidRPr="00307BB5">
        <w:rPr>
          <w:rFonts w:asciiTheme="majorHAnsi" w:hAnsiTheme="majorHAnsi" w:cs="Times New Roman"/>
          <w:color w:val="auto"/>
          <w:sz w:val="22"/>
          <w:szCs w:val="22"/>
        </w:rPr>
        <w:t>statements</w:t>
      </w:r>
      <w:r w:rsidRPr="00307BB5">
        <w:rPr>
          <w:rFonts w:asciiTheme="majorHAnsi" w:hAnsiTheme="majorHAnsi" w:cs="Times New Roman"/>
          <w:color w:val="auto"/>
          <w:sz w:val="22"/>
          <w:szCs w:val="22"/>
        </w:rPr>
        <w:t xml:space="preserve"> as reported in the annual report. </w:t>
      </w:r>
    </w:p>
    <w:p w14:paraId="6A17469C" w14:textId="56E86EE4" w:rsidR="009F1A0D" w:rsidRDefault="009F1A0D" w:rsidP="009F1A0D">
      <w:pPr>
        <w:pStyle w:val="Normal1"/>
        <w:contextualSpacing/>
        <w:jc w:val="both"/>
        <w:rPr>
          <w:noProof/>
        </w:rPr>
      </w:pPr>
    </w:p>
    <w:p w14:paraId="2DF31365" w14:textId="604B371C" w:rsidR="00CC1BC4" w:rsidRPr="009F1A0D" w:rsidRDefault="00F1017E" w:rsidP="009F1A0D">
      <w:pPr>
        <w:pStyle w:val="Normal1"/>
        <w:contextualSpacing/>
        <w:jc w:val="both"/>
        <w:rPr>
          <w:rFonts w:asciiTheme="majorHAnsi" w:hAnsiTheme="majorHAnsi" w:cs="Times New Roman"/>
          <w:b/>
          <w:sz w:val="22"/>
          <w:szCs w:val="22"/>
        </w:rPr>
      </w:pPr>
      <w:r>
        <w:rPr>
          <w:noProof/>
        </w:rPr>
        <w:drawing>
          <wp:inline distT="0" distB="0" distL="0" distR="0" wp14:anchorId="408E1E3D" wp14:editId="722B0A13">
            <wp:extent cx="5270500" cy="33731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373120"/>
                    </a:xfrm>
                    <a:prstGeom prst="rect">
                      <a:avLst/>
                    </a:prstGeom>
                  </pic:spPr>
                </pic:pic>
              </a:graphicData>
            </a:graphic>
          </wp:inline>
        </w:drawing>
      </w:r>
    </w:p>
    <w:p w14:paraId="3B3BBDC9" w14:textId="13A11249" w:rsidR="003F1F35" w:rsidRDefault="003F1F35" w:rsidP="00132AEB">
      <w:pPr>
        <w:pStyle w:val="Normal1"/>
        <w:contextualSpacing/>
        <w:rPr>
          <w:rFonts w:asciiTheme="majorHAnsi" w:hAnsiTheme="majorHAnsi" w:cs="Times New Roman"/>
          <w:sz w:val="22"/>
          <w:szCs w:val="22"/>
        </w:rPr>
      </w:pPr>
    </w:p>
    <w:p w14:paraId="1A8A70DE" w14:textId="72C43A99" w:rsidR="008B2164" w:rsidRPr="00307BB5" w:rsidRDefault="008B2164" w:rsidP="008B2164">
      <w:pPr>
        <w:pStyle w:val="Normal1"/>
        <w:contextualSpacing/>
        <w:jc w:val="both"/>
        <w:rPr>
          <w:rFonts w:asciiTheme="majorHAnsi" w:hAnsiTheme="majorHAnsi" w:cs="Times New Roman"/>
          <w:b/>
          <w:color w:val="auto"/>
          <w:sz w:val="22"/>
          <w:szCs w:val="22"/>
        </w:rPr>
      </w:pPr>
      <w:r w:rsidRPr="00307BB5">
        <w:rPr>
          <w:rFonts w:asciiTheme="majorHAnsi" w:hAnsiTheme="majorHAnsi" w:cs="Times New Roman"/>
          <w:b/>
          <w:color w:val="auto"/>
          <w:sz w:val="22"/>
          <w:szCs w:val="22"/>
        </w:rPr>
        <w:t>Use of the Reserves</w:t>
      </w:r>
    </w:p>
    <w:p w14:paraId="25474740" w14:textId="3418BB9E" w:rsidR="008B2164" w:rsidRPr="00307BB5" w:rsidRDefault="008B2164" w:rsidP="008B2164">
      <w:pPr>
        <w:pStyle w:val="Normal1"/>
        <w:contextualSpacing/>
        <w:rPr>
          <w:rFonts w:asciiTheme="majorHAnsi" w:hAnsiTheme="majorHAnsi" w:cs="Times New Roman"/>
          <w:color w:val="auto"/>
          <w:sz w:val="22"/>
          <w:szCs w:val="22"/>
        </w:rPr>
      </w:pPr>
      <w:r w:rsidRPr="00307BB5">
        <w:rPr>
          <w:rFonts w:asciiTheme="majorHAnsi" w:hAnsiTheme="majorHAnsi" w:cs="Times New Roman"/>
          <w:color w:val="auto"/>
          <w:sz w:val="22"/>
          <w:szCs w:val="22"/>
        </w:rPr>
        <w:t>The reserves may be utilised on activities including, but not limited to, the following:</w:t>
      </w:r>
    </w:p>
    <w:p w14:paraId="229D27EC" w14:textId="0785DBE5"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Coordination of crisis activities and </w:t>
      </w:r>
      <w:proofErr w:type="gramStart"/>
      <w:r w:rsidRPr="00307BB5">
        <w:rPr>
          <w:rFonts w:asciiTheme="majorHAnsi" w:hAnsiTheme="majorHAnsi" w:cs="Times New Roman"/>
          <w:color w:val="auto"/>
          <w:sz w:val="22"/>
          <w:szCs w:val="22"/>
        </w:rPr>
        <w:t>communications;</w:t>
      </w:r>
      <w:proofErr w:type="gramEnd"/>
    </w:p>
    <w:p w14:paraId="1FC8BA17" w14:textId="19AA4B82"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Provision of specialist advice and support to levy payers and agencies leading any response to the sector </w:t>
      </w:r>
      <w:proofErr w:type="gramStart"/>
      <w:r w:rsidRPr="00307BB5">
        <w:rPr>
          <w:rFonts w:asciiTheme="majorHAnsi" w:hAnsiTheme="majorHAnsi" w:cs="Times New Roman"/>
          <w:color w:val="auto"/>
          <w:sz w:val="22"/>
          <w:szCs w:val="22"/>
        </w:rPr>
        <w:t>crisis;</w:t>
      </w:r>
      <w:proofErr w:type="gramEnd"/>
    </w:p>
    <w:p w14:paraId="351F7B31" w14:textId="0E0C3538"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Advocacy on behalf of the pork industry during a </w:t>
      </w:r>
      <w:proofErr w:type="gramStart"/>
      <w:r w:rsidRPr="00307BB5">
        <w:rPr>
          <w:rFonts w:asciiTheme="majorHAnsi" w:hAnsiTheme="majorHAnsi" w:cs="Times New Roman"/>
          <w:color w:val="auto"/>
          <w:sz w:val="22"/>
          <w:szCs w:val="22"/>
        </w:rPr>
        <w:t>crisis;</w:t>
      </w:r>
      <w:proofErr w:type="gramEnd"/>
    </w:p>
    <w:p w14:paraId="05625D9E" w14:textId="405E9FD8"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Market research/public </w:t>
      </w:r>
      <w:proofErr w:type="gramStart"/>
      <w:r w:rsidRPr="00307BB5">
        <w:rPr>
          <w:rFonts w:asciiTheme="majorHAnsi" w:hAnsiTheme="majorHAnsi" w:cs="Times New Roman"/>
          <w:color w:val="auto"/>
          <w:sz w:val="22"/>
          <w:szCs w:val="22"/>
        </w:rPr>
        <w:t>relations;</w:t>
      </w:r>
      <w:proofErr w:type="gramEnd"/>
    </w:p>
    <w:p w14:paraId="092702E1" w14:textId="78F0D748"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lastRenderedPageBreak/>
        <w:t xml:space="preserve">Consumer promotion including </w:t>
      </w:r>
      <w:proofErr w:type="gramStart"/>
      <w:r w:rsidRPr="00307BB5">
        <w:rPr>
          <w:rFonts w:asciiTheme="majorHAnsi" w:hAnsiTheme="majorHAnsi" w:cs="Times New Roman"/>
          <w:color w:val="auto"/>
          <w:sz w:val="22"/>
          <w:szCs w:val="22"/>
        </w:rPr>
        <w:t>advertising;</w:t>
      </w:r>
      <w:proofErr w:type="gramEnd"/>
    </w:p>
    <w:p w14:paraId="15CB6900" w14:textId="062A6F28" w:rsidR="008B2164" w:rsidRPr="00307BB5" w:rsidRDefault="008B2164" w:rsidP="008B2164">
      <w:pPr>
        <w:pStyle w:val="Normal1"/>
        <w:numPr>
          <w:ilvl w:val="0"/>
          <w:numId w:val="12"/>
        </w:numPr>
        <w:contextualSpacing/>
        <w:jc w:val="both"/>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Establishment and audit of quality control/food safety </w:t>
      </w:r>
      <w:proofErr w:type="gramStart"/>
      <w:r w:rsidRPr="00307BB5">
        <w:rPr>
          <w:rFonts w:asciiTheme="majorHAnsi" w:hAnsiTheme="majorHAnsi" w:cs="Times New Roman"/>
          <w:color w:val="auto"/>
          <w:sz w:val="22"/>
          <w:szCs w:val="22"/>
        </w:rPr>
        <w:t>programmes;</w:t>
      </w:r>
      <w:proofErr w:type="gramEnd"/>
    </w:p>
    <w:p w14:paraId="7A5BA9A2" w14:textId="502A1F30" w:rsidR="008B2164" w:rsidRPr="00307BB5" w:rsidRDefault="008B2164" w:rsidP="008B2164">
      <w:pPr>
        <w:pStyle w:val="Normal1"/>
        <w:numPr>
          <w:ilvl w:val="0"/>
          <w:numId w:val="12"/>
        </w:numPr>
        <w:contextualSpacing/>
        <w:jc w:val="both"/>
        <w:rPr>
          <w:rFonts w:asciiTheme="majorHAnsi" w:hAnsiTheme="majorHAnsi" w:cs="Times New Roman"/>
          <w:b/>
          <w:color w:val="auto"/>
          <w:sz w:val="22"/>
          <w:szCs w:val="22"/>
        </w:rPr>
      </w:pPr>
      <w:r w:rsidRPr="00307BB5">
        <w:rPr>
          <w:rFonts w:asciiTheme="majorHAnsi" w:hAnsiTheme="majorHAnsi" w:cs="Times New Roman"/>
          <w:color w:val="auto"/>
          <w:sz w:val="22"/>
          <w:szCs w:val="22"/>
        </w:rPr>
        <w:t>Research to gain further understanding of the nature of the event; and</w:t>
      </w:r>
    </w:p>
    <w:p w14:paraId="4B1A6E85" w14:textId="79313705" w:rsidR="00204E2D" w:rsidRPr="00B14731" w:rsidRDefault="008B2164" w:rsidP="008B2164">
      <w:pPr>
        <w:pStyle w:val="Normal1"/>
        <w:numPr>
          <w:ilvl w:val="0"/>
          <w:numId w:val="12"/>
        </w:numPr>
        <w:contextualSpacing/>
        <w:jc w:val="both"/>
        <w:rPr>
          <w:rFonts w:asciiTheme="majorHAnsi" w:hAnsiTheme="majorHAnsi" w:cs="Times New Roman"/>
          <w:b/>
          <w:color w:val="auto"/>
          <w:sz w:val="22"/>
          <w:szCs w:val="22"/>
        </w:rPr>
        <w:sectPr w:rsidR="00204E2D" w:rsidRPr="00B14731" w:rsidSect="008863C1">
          <w:headerReference w:type="default" r:id="rId12"/>
          <w:footerReference w:type="default" r:id="rId13"/>
          <w:pgSz w:w="11900" w:h="16840"/>
          <w:pgMar w:top="1440" w:right="1800" w:bottom="1440" w:left="1800" w:header="454" w:footer="113" w:gutter="0"/>
          <w:pgNumType w:start="1"/>
          <w:cols w:space="720"/>
          <w:docGrid w:linePitch="326"/>
        </w:sectPr>
      </w:pPr>
      <w:r w:rsidRPr="00307BB5">
        <w:rPr>
          <w:rFonts w:asciiTheme="majorHAnsi" w:hAnsiTheme="majorHAnsi" w:cs="Times New Roman"/>
          <w:color w:val="auto"/>
          <w:sz w:val="22"/>
          <w:szCs w:val="22"/>
        </w:rPr>
        <w:t>Legal expenses incurred in defending the interests of the sector.</w:t>
      </w:r>
    </w:p>
    <w:p w14:paraId="7CAA7F73" w14:textId="27388897" w:rsidR="003F1F35" w:rsidRPr="00307BB5" w:rsidRDefault="009F1A0D" w:rsidP="00FD7DAD">
      <w:pPr>
        <w:pStyle w:val="Heading1"/>
        <w:rPr>
          <w:rFonts w:asciiTheme="majorHAnsi" w:hAnsiTheme="majorHAnsi" w:cs="Arial"/>
          <w:color w:val="auto"/>
          <w:sz w:val="28"/>
          <w:szCs w:val="28"/>
        </w:rPr>
      </w:pPr>
      <w:r w:rsidRPr="00307BB5">
        <w:rPr>
          <w:rFonts w:asciiTheme="majorHAnsi" w:hAnsiTheme="majorHAnsi" w:cs="Arial"/>
          <w:color w:val="auto"/>
          <w:sz w:val="28"/>
          <w:szCs w:val="28"/>
        </w:rPr>
        <w:lastRenderedPageBreak/>
        <w:t xml:space="preserve">Appendix </w:t>
      </w:r>
      <w:r w:rsidR="00FD3EEA">
        <w:rPr>
          <w:rFonts w:asciiTheme="majorHAnsi" w:hAnsiTheme="majorHAnsi" w:cs="Arial"/>
          <w:color w:val="auto"/>
          <w:sz w:val="28"/>
          <w:szCs w:val="28"/>
        </w:rPr>
        <w:t>A</w:t>
      </w:r>
      <w:r w:rsidRPr="00307BB5">
        <w:rPr>
          <w:rFonts w:asciiTheme="majorHAnsi" w:hAnsiTheme="majorHAnsi" w:cs="Arial"/>
          <w:color w:val="auto"/>
          <w:sz w:val="28"/>
          <w:szCs w:val="28"/>
        </w:rPr>
        <w:t>: Investment Background and History</w:t>
      </w:r>
    </w:p>
    <w:p w14:paraId="7E333B40" w14:textId="4A5C4D4F" w:rsidR="003F1F35" w:rsidRPr="00307BB5" w:rsidRDefault="009F1A0D" w:rsidP="00132AEB">
      <w:pPr>
        <w:pStyle w:val="Normal1"/>
        <w:contextualSpacing/>
        <w:rPr>
          <w:rFonts w:asciiTheme="majorHAnsi" w:hAnsiTheme="majorHAnsi" w:cs="Times New Roman"/>
          <w:color w:val="auto"/>
          <w:sz w:val="22"/>
          <w:szCs w:val="22"/>
        </w:rPr>
      </w:pPr>
      <w:r w:rsidRPr="00307BB5">
        <w:rPr>
          <w:rFonts w:asciiTheme="majorHAnsi" w:hAnsiTheme="majorHAnsi" w:cs="Times New Roman"/>
          <w:color w:val="auto"/>
          <w:sz w:val="22"/>
          <w:szCs w:val="22"/>
        </w:rPr>
        <w:t xml:space="preserve">This information was provided in early versions of this policy </w:t>
      </w:r>
      <w:r w:rsidR="00F51C73" w:rsidRPr="00307BB5">
        <w:rPr>
          <w:rFonts w:asciiTheme="majorHAnsi" w:hAnsiTheme="majorHAnsi" w:cs="Times New Roman"/>
          <w:color w:val="auto"/>
          <w:sz w:val="22"/>
          <w:szCs w:val="22"/>
        </w:rPr>
        <w:t xml:space="preserve">and has been retained as historical information. </w:t>
      </w:r>
      <w:r w:rsidRPr="00307BB5">
        <w:rPr>
          <w:rFonts w:asciiTheme="majorHAnsi" w:hAnsiTheme="majorHAnsi" w:cs="Times New Roman"/>
          <w:color w:val="auto"/>
          <w:sz w:val="22"/>
          <w:szCs w:val="22"/>
        </w:rPr>
        <w:t xml:space="preserve"> </w:t>
      </w:r>
    </w:p>
    <w:p w14:paraId="1BF99E36" w14:textId="1BE0FD02" w:rsidR="009F1A0D" w:rsidRDefault="009F1A0D" w:rsidP="00132AEB">
      <w:pPr>
        <w:pStyle w:val="Normal1"/>
        <w:contextualSpacing/>
        <w:rPr>
          <w:rFonts w:asciiTheme="majorHAnsi" w:hAnsiTheme="majorHAnsi" w:cs="Times New Roman"/>
          <w:sz w:val="22"/>
          <w:szCs w:val="22"/>
        </w:rPr>
      </w:pPr>
    </w:p>
    <w:p w14:paraId="5146FE18" w14:textId="03BF9141" w:rsidR="009F1A0D" w:rsidRPr="00C03EB5" w:rsidRDefault="009F1A0D" w:rsidP="002571A1">
      <w:pPr>
        <w:pStyle w:val="Normal1"/>
        <w:contextualSpacing/>
        <w:jc w:val="both"/>
        <w:rPr>
          <w:rFonts w:asciiTheme="majorHAnsi" w:hAnsiTheme="majorHAnsi" w:cs="Times New Roman"/>
          <w:sz w:val="22"/>
          <w:szCs w:val="22"/>
          <w:u w:val="single"/>
        </w:rPr>
      </w:pPr>
      <w:bookmarkStart w:id="2" w:name="_Toc70418849"/>
      <w:r w:rsidRPr="00C03EB5">
        <w:rPr>
          <w:rFonts w:asciiTheme="majorHAnsi" w:hAnsiTheme="majorHAnsi" w:cs="Times New Roman"/>
          <w:sz w:val="22"/>
          <w:szCs w:val="22"/>
          <w:u w:val="single"/>
        </w:rPr>
        <w:t>Establishment</w:t>
      </w:r>
      <w:bookmarkEnd w:id="2"/>
    </w:p>
    <w:p w14:paraId="1E1FCE0E" w14:textId="77777777" w:rsidR="009F1A0D" w:rsidRPr="009F1A0D" w:rsidRDefault="009F1A0D" w:rsidP="009F1A0D">
      <w:pPr>
        <w:rPr>
          <w:rFonts w:asciiTheme="majorHAnsi" w:hAnsiTheme="majorHAnsi" w:cs="Times New Roman"/>
          <w:sz w:val="22"/>
          <w:szCs w:val="22"/>
        </w:rPr>
      </w:pPr>
      <w:r w:rsidRPr="009F1A0D">
        <w:rPr>
          <w:rFonts w:asciiTheme="majorHAnsi" w:hAnsiTheme="majorHAnsi" w:cs="Times New Roman"/>
          <w:sz w:val="22"/>
          <w:szCs w:val="22"/>
        </w:rPr>
        <w:t xml:space="preserve">The New Zealand Pork Industry Board’s (NZPork) reserves, as with all other producer boards, were established by one-off payments received from the Government following the sale of meat to the United Kingdom during the 1951/52 season. With </w:t>
      </w:r>
      <w:proofErr w:type="gramStart"/>
      <w:r w:rsidRPr="009F1A0D">
        <w:rPr>
          <w:rFonts w:asciiTheme="majorHAnsi" w:hAnsiTheme="majorHAnsi" w:cs="Times New Roman"/>
          <w:sz w:val="22"/>
          <w:szCs w:val="22"/>
        </w:rPr>
        <w:t>particular respect</w:t>
      </w:r>
      <w:proofErr w:type="gramEnd"/>
      <w:r w:rsidRPr="009F1A0D">
        <w:rPr>
          <w:rFonts w:asciiTheme="majorHAnsi" w:hAnsiTheme="majorHAnsi" w:cs="Times New Roman"/>
          <w:sz w:val="22"/>
          <w:szCs w:val="22"/>
        </w:rPr>
        <w:t xml:space="preserve"> to NZPIB’s reserves, two payments were received in 1953 and 1954 following the sale of pig meat.</w:t>
      </w:r>
    </w:p>
    <w:p w14:paraId="4530A40F" w14:textId="77777777" w:rsidR="009F1A0D" w:rsidRPr="009F1A0D" w:rsidRDefault="009F1A0D" w:rsidP="009F1A0D">
      <w:pPr>
        <w:rPr>
          <w:rFonts w:asciiTheme="majorHAnsi" w:hAnsiTheme="majorHAnsi" w:cs="Times New Roman"/>
          <w:sz w:val="22"/>
          <w:szCs w:val="22"/>
        </w:rPr>
      </w:pPr>
    </w:p>
    <w:p w14:paraId="7612BD65" w14:textId="77777777" w:rsidR="009F1A0D" w:rsidRPr="009F1A0D" w:rsidRDefault="009F1A0D" w:rsidP="009F1A0D">
      <w:pPr>
        <w:rPr>
          <w:rFonts w:asciiTheme="majorHAnsi" w:hAnsiTheme="majorHAnsi" w:cs="Times New Roman"/>
          <w:sz w:val="22"/>
          <w:szCs w:val="22"/>
        </w:rPr>
      </w:pPr>
      <w:r w:rsidRPr="009F1A0D">
        <w:rPr>
          <w:rFonts w:asciiTheme="majorHAnsi" w:hAnsiTheme="majorHAnsi" w:cs="Times New Roman"/>
          <w:sz w:val="22"/>
          <w:szCs w:val="22"/>
        </w:rPr>
        <w:t xml:space="preserve">The first payment of £108,520 is clearly recorded in the New Zealand Pig Producers’ Council’s 1953 Annual Report, with the Chairman, I.B. Julian, reporting </w:t>
      </w:r>
      <w:proofErr w:type="gramStart"/>
      <w:r w:rsidRPr="009F1A0D">
        <w:rPr>
          <w:rFonts w:asciiTheme="majorHAnsi" w:hAnsiTheme="majorHAnsi" w:cs="Times New Roman"/>
          <w:sz w:val="22"/>
          <w:szCs w:val="22"/>
        </w:rPr>
        <w:t>that;</w:t>
      </w:r>
      <w:proofErr w:type="gramEnd"/>
    </w:p>
    <w:p w14:paraId="47F8C5C0" w14:textId="77777777" w:rsidR="009F1A0D" w:rsidRPr="002571A1" w:rsidRDefault="009F1A0D" w:rsidP="009F1A0D">
      <w:pPr>
        <w:rPr>
          <w:rFonts w:asciiTheme="majorHAnsi" w:hAnsiTheme="majorHAnsi" w:cs="Times New Roman"/>
          <w:sz w:val="22"/>
          <w:szCs w:val="22"/>
        </w:rPr>
      </w:pPr>
    </w:p>
    <w:p w14:paraId="2DC72C8B" w14:textId="77777777" w:rsidR="009F1A0D" w:rsidRPr="009F1A0D" w:rsidRDefault="009F1A0D" w:rsidP="009F1A0D">
      <w:pPr>
        <w:ind w:left="720"/>
        <w:jc w:val="center"/>
        <w:rPr>
          <w:rFonts w:asciiTheme="majorHAnsi" w:hAnsiTheme="majorHAnsi" w:cs="Times New Roman"/>
          <w:i/>
          <w:sz w:val="22"/>
          <w:szCs w:val="22"/>
        </w:rPr>
      </w:pPr>
      <w:r w:rsidRPr="009F1A0D">
        <w:rPr>
          <w:rFonts w:asciiTheme="majorHAnsi" w:hAnsiTheme="majorHAnsi" w:cs="Times New Roman"/>
          <w:i/>
          <w:sz w:val="22"/>
          <w:szCs w:val="22"/>
        </w:rPr>
        <w:t>“It has been decided to invest these funds over a fairly long period and this should give a great deal of stability to the industry in the future.”</w:t>
      </w:r>
    </w:p>
    <w:p w14:paraId="4D04A983" w14:textId="77777777" w:rsidR="009F1A0D" w:rsidRPr="002571A1" w:rsidRDefault="009F1A0D" w:rsidP="009F1A0D">
      <w:pPr>
        <w:rPr>
          <w:rFonts w:asciiTheme="majorHAnsi" w:hAnsiTheme="majorHAnsi" w:cs="Times New Roman"/>
          <w:sz w:val="22"/>
          <w:szCs w:val="22"/>
        </w:rPr>
      </w:pPr>
    </w:p>
    <w:p w14:paraId="46E7D856" w14:textId="77777777"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t xml:space="preserve">The Chairman also commented that he was </w:t>
      </w:r>
      <w:r w:rsidRPr="002571A1">
        <w:rPr>
          <w:rFonts w:asciiTheme="majorHAnsi" w:hAnsiTheme="majorHAnsi" w:cs="Times New Roman"/>
          <w:i/>
          <w:sz w:val="22"/>
          <w:szCs w:val="22"/>
        </w:rPr>
        <w:t>“confident that the United Kingdom is prepared to pay a price in keeping with the class and quality of pig meat most acceptable to her market, but will not continue paying for these classes that have, up to the present, served as ration stop-gaps. It is quite likely that pig meats will be the first meats to be released from the rationing in the United Kingdom and while the sale of pig meat is, along with other meat, covered by the bulk purchase agreement to September, 1955, it is possible that export sales after that date will revert to trader to trader basis.”</w:t>
      </w:r>
    </w:p>
    <w:p w14:paraId="47633B9A" w14:textId="77777777" w:rsidR="009F1A0D" w:rsidRPr="002571A1" w:rsidRDefault="009F1A0D" w:rsidP="009F1A0D">
      <w:pPr>
        <w:rPr>
          <w:rFonts w:asciiTheme="majorHAnsi" w:hAnsiTheme="majorHAnsi" w:cs="Times New Roman"/>
          <w:sz w:val="22"/>
          <w:szCs w:val="22"/>
        </w:rPr>
      </w:pPr>
    </w:p>
    <w:p w14:paraId="44F24D0D" w14:textId="1AB1C12E"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t xml:space="preserve">As a </w:t>
      </w:r>
      <w:r w:rsidR="002E3BE1" w:rsidRPr="002571A1">
        <w:rPr>
          <w:rFonts w:asciiTheme="majorHAnsi" w:hAnsiTheme="majorHAnsi" w:cs="Times New Roman"/>
          <w:sz w:val="22"/>
          <w:szCs w:val="22"/>
        </w:rPr>
        <w:t>result,</w:t>
      </w:r>
      <w:r w:rsidRPr="002571A1">
        <w:rPr>
          <w:rFonts w:asciiTheme="majorHAnsi" w:hAnsiTheme="majorHAnsi" w:cs="Times New Roman"/>
          <w:sz w:val="22"/>
          <w:szCs w:val="22"/>
        </w:rPr>
        <w:t xml:space="preserve"> the second and final payment of £110,000 was made in 1954.</w:t>
      </w:r>
    </w:p>
    <w:p w14:paraId="1E82B7DA" w14:textId="77777777" w:rsidR="009F1A0D" w:rsidRPr="002571A1" w:rsidRDefault="009F1A0D" w:rsidP="009F1A0D">
      <w:pPr>
        <w:rPr>
          <w:rFonts w:asciiTheme="majorHAnsi" w:hAnsiTheme="majorHAnsi" w:cs="Times New Roman"/>
          <w:sz w:val="22"/>
          <w:szCs w:val="22"/>
        </w:rPr>
      </w:pPr>
    </w:p>
    <w:p w14:paraId="387748F2" w14:textId="0B1B0394" w:rsidR="009F1A0D" w:rsidRPr="00C03EB5" w:rsidRDefault="009F1A0D" w:rsidP="002571A1">
      <w:pPr>
        <w:pStyle w:val="Normal1"/>
        <w:contextualSpacing/>
        <w:jc w:val="both"/>
        <w:rPr>
          <w:rFonts w:asciiTheme="majorHAnsi" w:hAnsiTheme="majorHAnsi" w:cs="Times New Roman"/>
          <w:sz w:val="22"/>
          <w:szCs w:val="22"/>
          <w:u w:val="single"/>
        </w:rPr>
      </w:pPr>
      <w:bookmarkStart w:id="3" w:name="_Toc70418850"/>
      <w:r w:rsidRPr="00C03EB5">
        <w:rPr>
          <w:rFonts w:asciiTheme="majorHAnsi" w:hAnsiTheme="majorHAnsi" w:cs="Times New Roman"/>
          <w:sz w:val="22"/>
          <w:szCs w:val="22"/>
          <w:u w:val="single"/>
        </w:rPr>
        <w:t>Consolidation</w:t>
      </w:r>
      <w:bookmarkEnd w:id="3"/>
    </w:p>
    <w:p w14:paraId="639A94BB" w14:textId="77777777"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t>Whilst part of these reserves (originally known as the development fund) was used to establish the National Pig Breeding Station in the late 1950s, they were consolidated over the years and as at 31 August 1974, the day the Pork Industry Council became a statutory producer board, reserves totalled $359,414.</w:t>
      </w:r>
    </w:p>
    <w:p w14:paraId="3C48C770" w14:textId="77777777" w:rsidR="009F1A0D" w:rsidRPr="002571A1" w:rsidRDefault="009F1A0D" w:rsidP="009F1A0D">
      <w:pPr>
        <w:rPr>
          <w:rFonts w:asciiTheme="majorHAnsi" w:hAnsiTheme="majorHAnsi" w:cs="Times New Roman"/>
          <w:sz w:val="22"/>
          <w:szCs w:val="22"/>
        </w:rPr>
      </w:pPr>
    </w:p>
    <w:p w14:paraId="4F17F70B" w14:textId="77777777"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t>Further consolidation occurred via the:</w:t>
      </w:r>
    </w:p>
    <w:p w14:paraId="29A23EFC"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Establishment of a marketing reserve in 1969/70</w:t>
      </w:r>
    </w:p>
    <w:p w14:paraId="505720FD"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Establishment of a research and development reserve in 1983/84 and part funded directly by the Government up to 1987.</w:t>
      </w:r>
    </w:p>
    <w:p w14:paraId="399962C7"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The strategic move at the time to purchase the Board’s premises in 1992</w:t>
      </w:r>
    </w:p>
    <w:p w14:paraId="4C6F301A"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 xml:space="preserve">Realising a respectable profit on the sale of the Board’s shareholding in </w:t>
      </w:r>
      <w:proofErr w:type="spellStart"/>
      <w:r w:rsidRPr="002571A1">
        <w:rPr>
          <w:rFonts w:asciiTheme="majorHAnsi" w:hAnsiTheme="majorHAnsi" w:cs="Times New Roman"/>
          <w:sz w:val="22"/>
          <w:szCs w:val="22"/>
        </w:rPr>
        <w:t>FarmPro</w:t>
      </w:r>
      <w:proofErr w:type="spellEnd"/>
      <w:r w:rsidRPr="002571A1">
        <w:rPr>
          <w:rFonts w:asciiTheme="majorHAnsi" w:hAnsiTheme="majorHAnsi" w:cs="Times New Roman"/>
          <w:sz w:val="22"/>
          <w:szCs w:val="22"/>
        </w:rPr>
        <w:t xml:space="preserve"> Systems Ltd in 2002.</w:t>
      </w:r>
    </w:p>
    <w:p w14:paraId="60953E0B"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Establishment of the PMWS Reserve Fund in 2005/2006 to help replenish the reserves used during the PMWS disease incursion.</w:t>
      </w:r>
    </w:p>
    <w:p w14:paraId="587A1BB7" w14:textId="77777777" w:rsidR="009F1A0D" w:rsidRPr="002571A1" w:rsidRDefault="009F1A0D" w:rsidP="002571A1">
      <w:pPr>
        <w:pStyle w:val="Normal1"/>
        <w:numPr>
          <w:ilvl w:val="0"/>
          <w:numId w:val="3"/>
        </w:numPr>
        <w:contextualSpacing/>
        <w:jc w:val="both"/>
        <w:rPr>
          <w:rFonts w:asciiTheme="majorHAnsi" w:hAnsiTheme="majorHAnsi" w:cs="Times New Roman"/>
          <w:sz w:val="22"/>
          <w:szCs w:val="22"/>
        </w:rPr>
      </w:pPr>
      <w:r w:rsidRPr="002571A1">
        <w:rPr>
          <w:rFonts w:asciiTheme="majorHAnsi" w:hAnsiTheme="majorHAnsi" w:cs="Times New Roman"/>
          <w:sz w:val="22"/>
          <w:szCs w:val="22"/>
        </w:rPr>
        <w:t>The marketing reserve and research and development reserve established in 1969/70 and 1983/84 respectively have been consolidated into the Accumulated Funds in 2010/11.</w:t>
      </w:r>
    </w:p>
    <w:p w14:paraId="5F860EA6" w14:textId="77777777" w:rsidR="009F1A0D" w:rsidRPr="002571A1" w:rsidRDefault="009F1A0D" w:rsidP="009F1A0D">
      <w:pPr>
        <w:rPr>
          <w:rFonts w:asciiTheme="majorHAnsi" w:hAnsiTheme="majorHAnsi" w:cs="Times New Roman"/>
          <w:sz w:val="22"/>
          <w:szCs w:val="22"/>
        </w:rPr>
      </w:pPr>
    </w:p>
    <w:p w14:paraId="34ECE7F9" w14:textId="77777777"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t>The 1981 Annual Report of the Pork Industry Council highlights that reserves totalled $697,252 and by 1991 NZPork and its subsidiaries had reserves totalling $2,606,498.</w:t>
      </w:r>
    </w:p>
    <w:p w14:paraId="6A41A5C6" w14:textId="77777777" w:rsidR="009F1A0D" w:rsidRPr="002571A1" w:rsidRDefault="009F1A0D" w:rsidP="009F1A0D">
      <w:pPr>
        <w:rPr>
          <w:rFonts w:asciiTheme="majorHAnsi" w:hAnsiTheme="majorHAnsi" w:cs="Times New Roman"/>
          <w:sz w:val="22"/>
          <w:szCs w:val="22"/>
        </w:rPr>
      </w:pPr>
      <w:r w:rsidRPr="002571A1">
        <w:rPr>
          <w:rFonts w:asciiTheme="majorHAnsi" w:hAnsiTheme="majorHAnsi" w:cs="Times New Roman"/>
          <w:sz w:val="22"/>
          <w:szCs w:val="22"/>
        </w:rPr>
        <w:lastRenderedPageBreak/>
        <w:t>By 1995 NZPork’s reserves and accumulated funds totalled $4,496,817, represented by:</w:t>
      </w:r>
    </w:p>
    <w:p w14:paraId="73817A4A" w14:textId="128A8D7C" w:rsidR="009F1A0D" w:rsidRDefault="009F1A0D" w:rsidP="009F1A0D">
      <w:pPr>
        <w:rPr>
          <w:rFonts w:ascii="Lucida Sans" w:hAnsi="Lucida Sans" w:cs="Lucida Sans"/>
        </w:rPr>
      </w:pPr>
    </w:p>
    <w:tbl>
      <w:tblPr>
        <w:tblStyle w:val="TableGrid"/>
        <w:tblW w:w="0" w:type="auto"/>
        <w:tblInd w:w="1413" w:type="dxa"/>
        <w:tblLook w:val="04A0" w:firstRow="1" w:lastRow="0" w:firstColumn="1" w:lastColumn="0" w:noHBand="0" w:noVBand="1"/>
      </w:tblPr>
      <w:tblGrid>
        <w:gridCol w:w="2732"/>
        <w:gridCol w:w="2087"/>
      </w:tblGrid>
      <w:tr w:rsidR="006D4CBF" w14:paraId="1D23211B" w14:textId="77777777" w:rsidTr="006D4CBF">
        <w:tc>
          <w:tcPr>
            <w:tcW w:w="2732" w:type="dxa"/>
          </w:tcPr>
          <w:p w14:paraId="1ABAB260" w14:textId="1D950BE0" w:rsidR="006D4CBF" w:rsidRDefault="006D4CBF" w:rsidP="009F1A0D">
            <w:pPr>
              <w:rPr>
                <w:rFonts w:asciiTheme="majorHAnsi" w:hAnsiTheme="majorHAnsi" w:cs="Times New Roman"/>
                <w:sz w:val="22"/>
                <w:szCs w:val="22"/>
              </w:rPr>
            </w:pPr>
            <w:r>
              <w:rPr>
                <w:rFonts w:asciiTheme="majorHAnsi" w:hAnsiTheme="majorHAnsi" w:cs="Times New Roman"/>
                <w:sz w:val="22"/>
                <w:szCs w:val="22"/>
              </w:rPr>
              <w:t>Marketing Reserve</w:t>
            </w:r>
          </w:p>
        </w:tc>
        <w:tc>
          <w:tcPr>
            <w:tcW w:w="2087" w:type="dxa"/>
          </w:tcPr>
          <w:p w14:paraId="0759DA94" w14:textId="526F163F"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$1,500,161.00</w:t>
            </w:r>
          </w:p>
        </w:tc>
      </w:tr>
      <w:tr w:rsidR="006D4CBF" w14:paraId="75250152" w14:textId="77777777" w:rsidTr="006D4CBF">
        <w:tc>
          <w:tcPr>
            <w:tcW w:w="2732" w:type="dxa"/>
          </w:tcPr>
          <w:p w14:paraId="67B9CB45" w14:textId="2C894DBE" w:rsidR="006D4CBF" w:rsidRDefault="006D4CBF" w:rsidP="009F1A0D">
            <w:pPr>
              <w:rPr>
                <w:rFonts w:asciiTheme="majorHAnsi" w:hAnsiTheme="majorHAnsi" w:cs="Times New Roman"/>
                <w:sz w:val="22"/>
                <w:szCs w:val="22"/>
              </w:rPr>
            </w:pPr>
            <w:r>
              <w:rPr>
                <w:rFonts w:asciiTheme="majorHAnsi" w:hAnsiTheme="majorHAnsi" w:cs="Times New Roman"/>
                <w:sz w:val="22"/>
                <w:szCs w:val="22"/>
              </w:rPr>
              <w:t>Research Reserve</w:t>
            </w:r>
          </w:p>
        </w:tc>
        <w:tc>
          <w:tcPr>
            <w:tcW w:w="2087" w:type="dxa"/>
          </w:tcPr>
          <w:p w14:paraId="5DB7F453" w14:textId="336AF767"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$183,459.00</w:t>
            </w:r>
          </w:p>
        </w:tc>
      </w:tr>
      <w:tr w:rsidR="006D4CBF" w14:paraId="5D1725E0" w14:textId="77777777" w:rsidTr="006D4CBF">
        <w:tc>
          <w:tcPr>
            <w:tcW w:w="2732" w:type="dxa"/>
          </w:tcPr>
          <w:p w14:paraId="27B09995" w14:textId="627B0EFF" w:rsidR="006D4CBF" w:rsidRDefault="006D4CBF" w:rsidP="009F1A0D">
            <w:pPr>
              <w:rPr>
                <w:rFonts w:asciiTheme="majorHAnsi" w:hAnsiTheme="majorHAnsi" w:cs="Times New Roman"/>
                <w:sz w:val="22"/>
                <w:szCs w:val="22"/>
              </w:rPr>
            </w:pPr>
            <w:r>
              <w:rPr>
                <w:rFonts w:asciiTheme="majorHAnsi" w:hAnsiTheme="majorHAnsi" w:cs="Times New Roman"/>
                <w:sz w:val="22"/>
                <w:szCs w:val="22"/>
              </w:rPr>
              <w:t xml:space="preserve">Land &amp; Building Revaluation </w:t>
            </w:r>
          </w:p>
        </w:tc>
        <w:tc>
          <w:tcPr>
            <w:tcW w:w="2087" w:type="dxa"/>
          </w:tcPr>
          <w:p w14:paraId="3D00A718" w14:textId="66C73FCC"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$50,343.00</w:t>
            </w:r>
          </w:p>
        </w:tc>
      </w:tr>
      <w:tr w:rsidR="006D4CBF" w14:paraId="35AC4DE7" w14:textId="77777777" w:rsidTr="006D4CBF">
        <w:tc>
          <w:tcPr>
            <w:tcW w:w="2732" w:type="dxa"/>
          </w:tcPr>
          <w:p w14:paraId="5C14DA44" w14:textId="65BDA8BB" w:rsidR="006D4CBF" w:rsidRDefault="006D4CBF" w:rsidP="009F1A0D">
            <w:pPr>
              <w:rPr>
                <w:rFonts w:asciiTheme="majorHAnsi" w:hAnsiTheme="majorHAnsi" w:cs="Times New Roman"/>
                <w:sz w:val="22"/>
                <w:szCs w:val="22"/>
              </w:rPr>
            </w:pPr>
            <w:r>
              <w:rPr>
                <w:rFonts w:asciiTheme="majorHAnsi" w:hAnsiTheme="majorHAnsi" w:cs="Times New Roman"/>
                <w:sz w:val="22"/>
                <w:szCs w:val="22"/>
              </w:rPr>
              <w:t xml:space="preserve">M.R.C Stabilisation </w:t>
            </w:r>
          </w:p>
        </w:tc>
        <w:tc>
          <w:tcPr>
            <w:tcW w:w="2087" w:type="dxa"/>
          </w:tcPr>
          <w:p w14:paraId="27063F04" w14:textId="028E2D08"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$30,000.00</w:t>
            </w:r>
          </w:p>
        </w:tc>
      </w:tr>
      <w:tr w:rsidR="006D4CBF" w14:paraId="38636C5B" w14:textId="77777777" w:rsidTr="006D4CBF">
        <w:tc>
          <w:tcPr>
            <w:tcW w:w="2732" w:type="dxa"/>
          </w:tcPr>
          <w:p w14:paraId="2E355B67" w14:textId="25016A8E" w:rsidR="006D4CBF" w:rsidRDefault="006D4CBF" w:rsidP="009F1A0D">
            <w:pPr>
              <w:rPr>
                <w:rFonts w:asciiTheme="majorHAnsi" w:hAnsiTheme="majorHAnsi" w:cs="Times New Roman"/>
                <w:sz w:val="22"/>
                <w:szCs w:val="22"/>
              </w:rPr>
            </w:pPr>
            <w:r>
              <w:rPr>
                <w:rFonts w:asciiTheme="majorHAnsi" w:hAnsiTheme="majorHAnsi" w:cs="Times New Roman"/>
                <w:sz w:val="22"/>
                <w:szCs w:val="22"/>
              </w:rPr>
              <w:t>Reserves Total</w:t>
            </w:r>
          </w:p>
        </w:tc>
        <w:tc>
          <w:tcPr>
            <w:tcW w:w="2087" w:type="dxa"/>
          </w:tcPr>
          <w:p w14:paraId="50005901" w14:textId="1DC73690"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$1,763,963.00</w:t>
            </w:r>
          </w:p>
        </w:tc>
      </w:tr>
      <w:tr w:rsidR="006D4CBF" w14:paraId="1C7B6DF4" w14:textId="77777777" w:rsidTr="006D4CBF">
        <w:tc>
          <w:tcPr>
            <w:tcW w:w="2732" w:type="dxa"/>
          </w:tcPr>
          <w:p w14:paraId="2A1FD9BF" w14:textId="21C65C16" w:rsidR="006D4CBF" w:rsidRDefault="006D4CBF" w:rsidP="009F1A0D">
            <w:pPr>
              <w:rPr>
                <w:rFonts w:asciiTheme="majorHAnsi" w:hAnsiTheme="majorHAnsi" w:cs="Times New Roman"/>
                <w:sz w:val="22"/>
                <w:szCs w:val="22"/>
              </w:rPr>
            </w:pPr>
            <w:r>
              <w:rPr>
                <w:rFonts w:asciiTheme="majorHAnsi" w:hAnsiTheme="majorHAnsi" w:cs="Times New Roman"/>
                <w:sz w:val="22"/>
                <w:szCs w:val="22"/>
              </w:rPr>
              <w:t xml:space="preserve">Accumulated Funds </w:t>
            </w:r>
          </w:p>
        </w:tc>
        <w:tc>
          <w:tcPr>
            <w:tcW w:w="2087" w:type="dxa"/>
          </w:tcPr>
          <w:p w14:paraId="22F141F1" w14:textId="0F491ABA" w:rsidR="006D4CBF" w:rsidRDefault="006D4CBF" w:rsidP="006D4CBF">
            <w:pPr>
              <w:jc w:val="right"/>
              <w:rPr>
                <w:rFonts w:asciiTheme="majorHAnsi" w:hAnsiTheme="majorHAnsi" w:cs="Times New Roman"/>
                <w:sz w:val="22"/>
                <w:szCs w:val="22"/>
              </w:rPr>
            </w:pPr>
            <w:r>
              <w:rPr>
                <w:rFonts w:asciiTheme="majorHAnsi" w:hAnsiTheme="majorHAnsi" w:cs="Times New Roman"/>
                <w:sz w:val="22"/>
                <w:szCs w:val="22"/>
              </w:rPr>
              <w:t>$2,732,854.00</w:t>
            </w:r>
          </w:p>
        </w:tc>
      </w:tr>
      <w:tr w:rsidR="006D4CBF" w14:paraId="75C954A6" w14:textId="77777777" w:rsidTr="006D4CBF">
        <w:tc>
          <w:tcPr>
            <w:tcW w:w="2732" w:type="dxa"/>
          </w:tcPr>
          <w:p w14:paraId="260588FF" w14:textId="4BD27737" w:rsidR="006D4CBF" w:rsidRPr="006D4CBF" w:rsidRDefault="006D4CBF" w:rsidP="009F1A0D">
            <w:pPr>
              <w:rPr>
                <w:rFonts w:asciiTheme="majorHAnsi" w:hAnsiTheme="majorHAnsi" w:cs="Times New Roman"/>
                <w:b/>
                <w:sz w:val="22"/>
                <w:szCs w:val="22"/>
              </w:rPr>
            </w:pPr>
            <w:r w:rsidRPr="006D4CBF">
              <w:rPr>
                <w:rFonts w:asciiTheme="majorHAnsi" w:hAnsiTheme="majorHAnsi" w:cs="Times New Roman"/>
                <w:b/>
                <w:sz w:val="22"/>
                <w:szCs w:val="22"/>
              </w:rPr>
              <w:t xml:space="preserve">Total Equity </w:t>
            </w:r>
          </w:p>
        </w:tc>
        <w:tc>
          <w:tcPr>
            <w:tcW w:w="2087" w:type="dxa"/>
          </w:tcPr>
          <w:p w14:paraId="3D656465" w14:textId="376FA0AF" w:rsidR="006D4CBF" w:rsidRPr="006D4CBF" w:rsidRDefault="006D4CBF" w:rsidP="006D4CBF">
            <w:pPr>
              <w:jc w:val="right"/>
              <w:rPr>
                <w:rFonts w:asciiTheme="majorHAnsi" w:hAnsiTheme="majorHAnsi" w:cs="Times New Roman"/>
                <w:b/>
                <w:sz w:val="22"/>
                <w:szCs w:val="22"/>
              </w:rPr>
            </w:pPr>
            <w:r w:rsidRPr="006D4CBF">
              <w:rPr>
                <w:rFonts w:asciiTheme="majorHAnsi" w:hAnsiTheme="majorHAnsi" w:cs="Times New Roman"/>
                <w:b/>
                <w:sz w:val="22"/>
                <w:szCs w:val="22"/>
              </w:rPr>
              <w:t>$4,496,817.00</w:t>
            </w:r>
          </w:p>
        </w:tc>
      </w:tr>
    </w:tbl>
    <w:p w14:paraId="68629767" w14:textId="77777777" w:rsidR="002571A1" w:rsidRPr="002571A1" w:rsidRDefault="002571A1" w:rsidP="009F1A0D">
      <w:pPr>
        <w:rPr>
          <w:rFonts w:asciiTheme="majorHAnsi" w:hAnsiTheme="majorHAnsi" w:cs="Times New Roman"/>
          <w:sz w:val="22"/>
          <w:szCs w:val="22"/>
        </w:rPr>
      </w:pPr>
    </w:p>
    <w:p w14:paraId="5CBD7CC3" w14:textId="77777777" w:rsidR="009F1A0D" w:rsidRPr="006D4CBF" w:rsidRDefault="009F1A0D" w:rsidP="009F1A0D">
      <w:pPr>
        <w:rPr>
          <w:rFonts w:asciiTheme="majorHAnsi" w:hAnsiTheme="majorHAnsi" w:cs="Times New Roman"/>
          <w:sz w:val="22"/>
          <w:szCs w:val="22"/>
        </w:rPr>
      </w:pPr>
      <w:r w:rsidRPr="006D4CBF">
        <w:rPr>
          <w:rFonts w:asciiTheme="majorHAnsi" w:hAnsiTheme="majorHAnsi" w:cs="Times New Roman"/>
          <w:sz w:val="22"/>
          <w:szCs w:val="22"/>
        </w:rPr>
        <w:t>Total equity was represented by:</w:t>
      </w:r>
    </w:p>
    <w:p w14:paraId="6C682E43" w14:textId="36036141" w:rsidR="009F1A0D" w:rsidRPr="006D4CBF" w:rsidRDefault="009F1A0D" w:rsidP="009F1A0D">
      <w:pPr>
        <w:rPr>
          <w:rFonts w:asciiTheme="majorHAnsi" w:hAnsiTheme="majorHAnsi" w:cs="Times New Roman"/>
          <w:sz w:val="22"/>
          <w:szCs w:val="22"/>
        </w:rPr>
      </w:pPr>
    </w:p>
    <w:tbl>
      <w:tblPr>
        <w:tblStyle w:val="TableGrid"/>
        <w:tblW w:w="0" w:type="auto"/>
        <w:tblInd w:w="1413" w:type="dxa"/>
        <w:tblLook w:val="04A0" w:firstRow="1" w:lastRow="0" w:firstColumn="1" w:lastColumn="0" w:noHBand="0" w:noVBand="1"/>
      </w:tblPr>
      <w:tblGrid>
        <w:gridCol w:w="2732"/>
        <w:gridCol w:w="2087"/>
      </w:tblGrid>
      <w:tr w:rsidR="006D4CBF" w14:paraId="37DF3311" w14:textId="77777777" w:rsidTr="006D4CBF">
        <w:tc>
          <w:tcPr>
            <w:tcW w:w="2732" w:type="dxa"/>
          </w:tcPr>
          <w:p w14:paraId="72F08F3B" w14:textId="1E3B0BFA" w:rsidR="006D4CBF" w:rsidRDefault="006D4CBF" w:rsidP="00FD6554">
            <w:pPr>
              <w:rPr>
                <w:rFonts w:asciiTheme="majorHAnsi" w:hAnsiTheme="majorHAnsi" w:cs="Times New Roman"/>
                <w:sz w:val="22"/>
                <w:szCs w:val="22"/>
              </w:rPr>
            </w:pPr>
            <w:r>
              <w:rPr>
                <w:rFonts w:asciiTheme="majorHAnsi" w:hAnsiTheme="majorHAnsi" w:cs="Times New Roman"/>
                <w:sz w:val="22"/>
                <w:szCs w:val="22"/>
              </w:rPr>
              <w:t>Net Working Capital</w:t>
            </w:r>
          </w:p>
        </w:tc>
        <w:tc>
          <w:tcPr>
            <w:tcW w:w="2087" w:type="dxa"/>
          </w:tcPr>
          <w:p w14:paraId="11B3C026" w14:textId="4BDE9C59" w:rsidR="006D4CBF" w:rsidRDefault="006D4CBF" w:rsidP="00FD6554">
            <w:pPr>
              <w:jc w:val="right"/>
              <w:rPr>
                <w:rFonts w:asciiTheme="majorHAnsi" w:hAnsiTheme="majorHAnsi" w:cs="Times New Roman"/>
                <w:sz w:val="22"/>
                <w:szCs w:val="22"/>
              </w:rPr>
            </w:pPr>
            <w:r>
              <w:rPr>
                <w:rFonts w:asciiTheme="majorHAnsi" w:hAnsiTheme="majorHAnsi" w:cs="Times New Roman"/>
                <w:sz w:val="22"/>
                <w:szCs w:val="22"/>
              </w:rPr>
              <w:t>$312,658.00</w:t>
            </w:r>
          </w:p>
        </w:tc>
      </w:tr>
      <w:tr w:rsidR="006D4CBF" w14:paraId="3BDADB51" w14:textId="77777777" w:rsidTr="006D4CBF">
        <w:tc>
          <w:tcPr>
            <w:tcW w:w="2732" w:type="dxa"/>
          </w:tcPr>
          <w:p w14:paraId="08B6F509" w14:textId="78F3B22F" w:rsidR="006D4CBF" w:rsidRDefault="006D4CBF" w:rsidP="00FD6554">
            <w:pPr>
              <w:rPr>
                <w:rFonts w:asciiTheme="majorHAnsi" w:hAnsiTheme="majorHAnsi" w:cs="Times New Roman"/>
                <w:sz w:val="22"/>
                <w:szCs w:val="22"/>
              </w:rPr>
            </w:pPr>
            <w:r>
              <w:rPr>
                <w:rFonts w:asciiTheme="majorHAnsi" w:hAnsiTheme="majorHAnsi" w:cs="Times New Roman"/>
                <w:sz w:val="22"/>
                <w:szCs w:val="22"/>
              </w:rPr>
              <w:t xml:space="preserve">Investments (other than </w:t>
            </w:r>
            <w:proofErr w:type="spellStart"/>
            <w:r>
              <w:rPr>
                <w:rFonts w:asciiTheme="majorHAnsi" w:hAnsiTheme="majorHAnsi" w:cs="Times New Roman"/>
                <w:sz w:val="22"/>
                <w:szCs w:val="22"/>
              </w:rPr>
              <w:t>Autocall</w:t>
            </w:r>
            <w:proofErr w:type="spellEnd"/>
            <w:r>
              <w:rPr>
                <w:rFonts w:asciiTheme="majorHAnsi" w:hAnsiTheme="majorHAnsi" w:cs="Times New Roman"/>
                <w:sz w:val="22"/>
                <w:szCs w:val="22"/>
              </w:rPr>
              <w:t>)</w:t>
            </w:r>
          </w:p>
        </w:tc>
        <w:tc>
          <w:tcPr>
            <w:tcW w:w="2087" w:type="dxa"/>
          </w:tcPr>
          <w:p w14:paraId="6DE31649" w14:textId="087763E2" w:rsidR="006D4CBF" w:rsidRDefault="006D4CBF" w:rsidP="00FD6554">
            <w:pPr>
              <w:jc w:val="right"/>
              <w:rPr>
                <w:rFonts w:asciiTheme="majorHAnsi" w:hAnsiTheme="majorHAnsi" w:cs="Times New Roman"/>
                <w:sz w:val="22"/>
                <w:szCs w:val="22"/>
              </w:rPr>
            </w:pPr>
            <w:r>
              <w:rPr>
                <w:rFonts w:asciiTheme="majorHAnsi" w:hAnsiTheme="majorHAnsi" w:cs="Times New Roman"/>
                <w:sz w:val="22"/>
                <w:szCs w:val="22"/>
              </w:rPr>
              <w:t>$2,618,334.00</w:t>
            </w:r>
          </w:p>
        </w:tc>
      </w:tr>
      <w:tr w:rsidR="006D4CBF" w14:paraId="243A48B3" w14:textId="77777777" w:rsidTr="006D4CBF">
        <w:tc>
          <w:tcPr>
            <w:tcW w:w="2732" w:type="dxa"/>
          </w:tcPr>
          <w:p w14:paraId="561C8260" w14:textId="03D3E074" w:rsidR="006D4CBF" w:rsidRDefault="006D4CBF" w:rsidP="00FD6554">
            <w:pPr>
              <w:rPr>
                <w:rFonts w:asciiTheme="majorHAnsi" w:hAnsiTheme="majorHAnsi" w:cs="Times New Roman"/>
                <w:sz w:val="22"/>
                <w:szCs w:val="22"/>
              </w:rPr>
            </w:pPr>
            <w:r>
              <w:rPr>
                <w:rFonts w:asciiTheme="majorHAnsi" w:hAnsiTheme="majorHAnsi" w:cs="Times New Roman"/>
                <w:sz w:val="22"/>
                <w:szCs w:val="22"/>
              </w:rPr>
              <w:t xml:space="preserve">Investments - NPBC </w:t>
            </w:r>
          </w:p>
        </w:tc>
        <w:tc>
          <w:tcPr>
            <w:tcW w:w="2087" w:type="dxa"/>
          </w:tcPr>
          <w:p w14:paraId="1EC26F73" w14:textId="6DB52B7A" w:rsidR="006D4CBF" w:rsidRDefault="006D4CBF" w:rsidP="00FD6554">
            <w:pPr>
              <w:jc w:val="right"/>
              <w:rPr>
                <w:rFonts w:asciiTheme="majorHAnsi" w:hAnsiTheme="majorHAnsi" w:cs="Times New Roman"/>
                <w:sz w:val="22"/>
                <w:szCs w:val="22"/>
              </w:rPr>
            </w:pPr>
            <w:r>
              <w:rPr>
                <w:rFonts w:asciiTheme="majorHAnsi" w:hAnsiTheme="majorHAnsi" w:cs="Times New Roman"/>
                <w:sz w:val="22"/>
                <w:szCs w:val="22"/>
              </w:rPr>
              <w:t>$1,100,000.00</w:t>
            </w:r>
          </w:p>
        </w:tc>
      </w:tr>
      <w:tr w:rsidR="006D4CBF" w14:paraId="52494062" w14:textId="77777777" w:rsidTr="006D4CBF">
        <w:tc>
          <w:tcPr>
            <w:tcW w:w="2732" w:type="dxa"/>
          </w:tcPr>
          <w:p w14:paraId="6B03BE29" w14:textId="4B8973F8" w:rsidR="006D4CBF" w:rsidRDefault="006D4CBF" w:rsidP="00FD6554">
            <w:pPr>
              <w:rPr>
                <w:rFonts w:asciiTheme="majorHAnsi" w:hAnsiTheme="majorHAnsi" w:cs="Times New Roman"/>
                <w:sz w:val="22"/>
                <w:szCs w:val="22"/>
              </w:rPr>
            </w:pPr>
            <w:r>
              <w:rPr>
                <w:rFonts w:asciiTheme="majorHAnsi" w:hAnsiTheme="majorHAnsi" w:cs="Times New Roman"/>
                <w:sz w:val="22"/>
                <w:szCs w:val="22"/>
              </w:rPr>
              <w:t xml:space="preserve">Fixed Assets </w:t>
            </w:r>
          </w:p>
        </w:tc>
        <w:tc>
          <w:tcPr>
            <w:tcW w:w="2087" w:type="dxa"/>
          </w:tcPr>
          <w:p w14:paraId="09A32182" w14:textId="7B64B8CA" w:rsidR="006D4CBF" w:rsidRDefault="006D4CBF" w:rsidP="00FD6554">
            <w:pPr>
              <w:jc w:val="right"/>
              <w:rPr>
                <w:rFonts w:asciiTheme="majorHAnsi" w:hAnsiTheme="majorHAnsi" w:cs="Times New Roman"/>
                <w:sz w:val="22"/>
                <w:szCs w:val="22"/>
              </w:rPr>
            </w:pPr>
            <w:r>
              <w:rPr>
                <w:rFonts w:asciiTheme="majorHAnsi" w:hAnsiTheme="majorHAnsi" w:cs="Times New Roman"/>
                <w:sz w:val="22"/>
                <w:szCs w:val="22"/>
              </w:rPr>
              <w:t>$465,825.00</w:t>
            </w:r>
          </w:p>
        </w:tc>
      </w:tr>
      <w:tr w:rsidR="006D4CBF" w14:paraId="327FFEC8" w14:textId="77777777" w:rsidTr="006D4CBF">
        <w:tc>
          <w:tcPr>
            <w:tcW w:w="2732" w:type="dxa"/>
          </w:tcPr>
          <w:p w14:paraId="4953BDF3" w14:textId="77777777" w:rsidR="006D4CBF" w:rsidRPr="006D4CBF" w:rsidRDefault="006D4CBF" w:rsidP="00FD6554">
            <w:pPr>
              <w:rPr>
                <w:rFonts w:asciiTheme="majorHAnsi" w:hAnsiTheme="majorHAnsi" w:cs="Times New Roman"/>
                <w:b/>
                <w:sz w:val="22"/>
                <w:szCs w:val="22"/>
              </w:rPr>
            </w:pPr>
            <w:r w:rsidRPr="006D4CBF">
              <w:rPr>
                <w:rFonts w:asciiTheme="majorHAnsi" w:hAnsiTheme="majorHAnsi" w:cs="Times New Roman"/>
                <w:b/>
                <w:sz w:val="22"/>
                <w:szCs w:val="22"/>
              </w:rPr>
              <w:t xml:space="preserve">Total Equity </w:t>
            </w:r>
          </w:p>
        </w:tc>
        <w:tc>
          <w:tcPr>
            <w:tcW w:w="2087" w:type="dxa"/>
          </w:tcPr>
          <w:p w14:paraId="2CAAE0D4" w14:textId="77777777" w:rsidR="006D4CBF" w:rsidRPr="006D4CBF" w:rsidRDefault="006D4CBF" w:rsidP="00FD6554">
            <w:pPr>
              <w:jc w:val="right"/>
              <w:rPr>
                <w:rFonts w:asciiTheme="majorHAnsi" w:hAnsiTheme="majorHAnsi" w:cs="Times New Roman"/>
                <w:b/>
                <w:sz w:val="22"/>
                <w:szCs w:val="22"/>
              </w:rPr>
            </w:pPr>
            <w:r w:rsidRPr="006D4CBF">
              <w:rPr>
                <w:rFonts w:asciiTheme="majorHAnsi" w:hAnsiTheme="majorHAnsi" w:cs="Times New Roman"/>
                <w:b/>
                <w:sz w:val="22"/>
                <w:szCs w:val="22"/>
              </w:rPr>
              <w:t>$4,496,817.00</w:t>
            </w:r>
          </w:p>
        </w:tc>
      </w:tr>
    </w:tbl>
    <w:p w14:paraId="3AB6D3B4" w14:textId="77777777" w:rsidR="006D4CBF" w:rsidRPr="006D4CBF" w:rsidRDefault="006D4CBF" w:rsidP="009F1A0D">
      <w:pPr>
        <w:rPr>
          <w:rFonts w:asciiTheme="majorHAnsi" w:hAnsiTheme="majorHAnsi" w:cs="Times New Roman"/>
          <w:sz w:val="22"/>
          <w:szCs w:val="22"/>
        </w:rPr>
      </w:pPr>
    </w:p>
    <w:p w14:paraId="41AC0D28" w14:textId="77777777" w:rsidR="009F1A0D" w:rsidRPr="006D4CBF" w:rsidRDefault="009F1A0D" w:rsidP="009F1A0D">
      <w:pPr>
        <w:rPr>
          <w:rFonts w:asciiTheme="majorHAnsi" w:hAnsiTheme="majorHAnsi" w:cs="Times New Roman"/>
          <w:sz w:val="22"/>
          <w:szCs w:val="22"/>
        </w:rPr>
      </w:pPr>
      <w:r w:rsidRPr="006D4CBF">
        <w:rPr>
          <w:rFonts w:asciiTheme="majorHAnsi" w:hAnsiTheme="majorHAnsi" w:cs="Times New Roman"/>
          <w:sz w:val="22"/>
          <w:szCs w:val="22"/>
        </w:rPr>
        <w:t>An additional $29,439.00 was also held in joint Ward Funds.</w:t>
      </w:r>
    </w:p>
    <w:p w14:paraId="57DA82B2" w14:textId="3B8CD6EE" w:rsidR="003F1F35" w:rsidRDefault="003F1F35" w:rsidP="006D4CBF">
      <w:pPr>
        <w:rPr>
          <w:rFonts w:asciiTheme="majorHAnsi" w:hAnsiTheme="majorHAnsi" w:cs="Times New Roman"/>
          <w:sz w:val="22"/>
          <w:szCs w:val="22"/>
        </w:rPr>
      </w:pPr>
    </w:p>
    <w:p w14:paraId="1E021D9F" w14:textId="6EA3DE51" w:rsidR="008B2164" w:rsidRPr="002571A1" w:rsidRDefault="005071A1" w:rsidP="008B2164">
      <w:pPr>
        <w:pStyle w:val="Normal1"/>
        <w:contextualSpacing/>
        <w:jc w:val="both"/>
        <w:rPr>
          <w:rFonts w:asciiTheme="majorHAnsi" w:hAnsiTheme="majorHAnsi" w:cs="Times New Roman"/>
          <w:b/>
          <w:sz w:val="22"/>
          <w:szCs w:val="22"/>
        </w:rPr>
      </w:pPr>
      <w:r>
        <w:rPr>
          <w:rFonts w:asciiTheme="majorHAnsi" w:hAnsiTheme="majorHAnsi" w:cs="Times New Roman"/>
          <w:b/>
          <w:sz w:val="22"/>
          <w:szCs w:val="22"/>
        </w:rPr>
        <w:t>Policy Review</w:t>
      </w:r>
    </w:p>
    <w:p w14:paraId="22D0E35B" w14:textId="4B69D07E" w:rsidR="008B2164" w:rsidRDefault="008B2164" w:rsidP="006D4CBF">
      <w:pPr>
        <w:rPr>
          <w:rFonts w:asciiTheme="majorHAnsi" w:hAnsiTheme="majorHAnsi" w:cs="Times New Roman"/>
          <w:sz w:val="22"/>
          <w:szCs w:val="22"/>
        </w:rPr>
      </w:pPr>
    </w:p>
    <w:p w14:paraId="0DCE3F07"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 xml:space="preserve">In </w:t>
      </w:r>
      <w:proofErr w:type="gramStart"/>
      <w:r w:rsidRPr="008B2164">
        <w:rPr>
          <w:rFonts w:asciiTheme="majorHAnsi" w:hAnsiTheme="majorHAnsi" w:cs="Times New Roman"/>
          <w:sz w:val="22"/>
          <w:szCs w:val="22"/>
        </w:rPr>
        <w:t>February 2008</w:t>
      </w:r>
      <w:proofErr w:type="gramEnd"/>
      <w:r w:rsidRPr="008B2164">
        <w:rPr>
          <w:rFonts w:asciiTheme="majorHAnsi" w:hAnsiTheme="majorHAnsi" w:cs="Times New Roman"/>
          <w:sz w:val="22"/>
          <w:szCs w:val="22"/>
        </w:rPr>
        <w:t xml:space="preserve"> the Board added Kiwi Bank to the list of potential investment listees and if any term deposits made (with all any bank), not to exceed a term of 2 years.</w:t>
      </w:r>
    </w:p>
    <w:p w14:paraId="3C549B3A" w14:textId="77777777" w:rsidR="008B2164" w:rsidRPr="008B2164" w:rsidRDefault="008B2164" w:rsidP="008B2164">
      <w:pPr>
        <w:rPr>
          <w:rFonts w:asciiTheme="majorHAnsi" w:hAnsiTheme="majorHAnsi" w:cs="Times New Roman"/>
          <w:sz w:val="22"/>
          <w:szCs w:val="22"/>
        </w:rPr>
      </w:pPr>
    </w:p>
    <w:p w14:paraId="14D3D5F1"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 xml:space="preserve">During </w:t>
      </w:r>
      <w:proofErr w:type="gramStart"/>
      <w:r w:rsidRPr="008B2164">
        <w:rPr>
          <w:rFonts w:asciiTheme="majorHAnsi" w:hAnsiTheme="majorHAnsi" w:cs="Times New Roman"/>
          <w:sz w:val="22"/>
          <w:szCs w:val="22"/>
        </w:rPr>
        <w:t>October 2008</w:t>
      </w:r>
      <w:proofErr w:type="gramEnd"/>
      <w:r w:rsidRPr="008B2164">
        <w:rPr>
          <w:rFonts w:asciiTheme="majorHAnsi" w:hAnsiTheme="majorHAnsi" w:cs="Times New Roman"/>
          <w:sz w:val="22"/>
          <w:szCs w:val="22"/>
        </w:rPr>
        <w:t xml:space="preserve"> the Board decided that as the economy is still volatile it was agreed to leave the term deposits as they are and reassess when they are due to mature.</w:t>
      </w:r>
    </w:p>
    <w:p w14:paraId="1DC3382C"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ab/>
      </w:r>
    </w:p>
    <w:p w14:paraId="654EBD9C"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 xml:space="preserve">During </w:t>
      </w:r>
      <w:proofErr w:type="gramStart"/>
      <w:r w:rsidRPr="008B2164">
        <w:rPr>
          <w:rFonts w:asciiTheme="majorHAnsi" w:hAnsiTheme="majorHAnsi" w:cs="Times New Roman"/>
          <w:sz w:val="22"/>
          <w:szCs w:val="22"/>
        </w:rPr>
        <w:t>August 2009</w:t>
      </w:r>
      <w:proofErr w:type="gramEnd"/>
      <w:r w:rsidRPr="008B2164">
        <w:rPr>
          <w:rFonts w:asciiTheme="majorHAnsi" w:hAnsiTheme="majorHAnsi" w:cs="Times New Roman"/>
          <w:sz w:val="22"/>
          <w:szCs w:val="22"/>
        </w:rPr>
        <w:t xml:space="preserve"> the Board amended the investment policy to move outside the current length of term of its investing policy whilst interest rates are low and will change back when rates increase.</w:t>
      </w:r>
    </w:p>
    <w:p w14:paraId="18CCEA68" w14:textId="77777777" w:rsidR="008B2164" w:rsidRPr="008B2164" w:rsidRDefault="008B2164" w:rsidP="008B2164">
      <w:pPr>
        <w:rPr>
          <w:rFonts w:asciiTheme="majorHAnsi" w:hAnsiTheme="majorHAnsi" w:cs="Times New Roman"/>
          <w:sz w:val="22"/>
          <w:szCs w:val="22"/>
        </w:rPr>
      </w:pPr>
    </w:p>
    <w:p w14:paraId="08495E5E"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 xml:space="preserve">At the August 2010 Board meeting, the Board noted it would continue investing for short term periods and would continue to invest only with trading banks.  </w:t>
      </w:r>
    </w:p>
    <w:p w14:paraId="01B5F3AD" w14:textId="77777777" w:rsidR="008B2164" w:rsidRPr="008B2164" w:rsidRDefault="008B2164" w:rsidP="008B2164">
      <w:pPr>
        <w:rPr>
          <w:rFonts w:asciiTheme="majorHAnsi" w:hAnsiTheme="majorHAnsi" w:cs="Times New Roman"/>
          <w:sz w:val="22"/>
          <w:szCs w:val="22"/>
        </w:rPr>
      </w:pPr>
    </w:p>
    <w:p w14:paraId="3C51D7D0" w14:textId="77777777"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At the October 2012 Board meeting, the Board resolved that the final decision for length of the term investment is to be decided at time of reinvestment with the intention to vary term length (6 months to one year) for cash flow stability.</w:t>
      </w:r>
    </w:p>
    <w:p w14:paraId="2AD12799" w14:textId="77777777" w:rsidR="008B2164" w:rsidRPr="008B2164" w:rsidRDefault="008B2164" w:rsidP="008B2164">
      <w:pPr>
        <w:rPr>
          <w:rFonts w:asciiTheme="majorHAnsi" w:hAnsiTheme="majorHAnsi" w:cs="Times New Roman"/>
          <w:sz w:val="22"/>
          <w:szCs w:val="22"/>
        </w:rPr>
      </w:pPr>
    </w:p>
    <w:p w14:paraId="34E8EBAE" w14:textId="3CF9959E" w:rsidR="008B2164" w:rsidRPr="008B2164" w:rsidRDefault="008B2164" w:rsidP="008B2164">
      <w:pPr>
        <w:rPr>
          <w:rFonts w:asciiTheme="majorHAnsi" w:hAnsiTheme="majorHAnsi" w:cs="Times New Roman"/>
          <w:sz w:val="22"/>
          <w:szCs w:val="22"/>
        </w:rPr>
      </w:pPr>
      <w:r w:rsidRPr="008B2164">
        <w:rPr>
          <w:rFonts w:asciiTheme="majorHAnsi" w:hAnsiTheme="majorHAnsi" w:cs="Times New Roman"/>
          <w:sz w:val="22"/>
          <w:szCs w:val="22"/>
        </w:rPr>
        <w:t>At the April 2015 Board meeting, t</w:t>
      </w:r>
      <w:r>
        <w:rPr>
          <w:rFonts w:asciiTheme="majorHAnsi" w:hAnsiTheme="majorHAnsi" w:cs="Times New Roman"/>
          <w:sz w:val="22"/>
          <w:szCs w:val="22"/>
        </w:rPr>
        <w:t>he B</w:t>
      </w:r>
      <w:r w:rsidRPr="008B2164">
        <w:rPr>
          <w:rFonts w:asciiTheme="majorHAnsi" w:hAnsiTheme="majorHAnsi" w:cs="Times New Roman"/>
          <w:sz w:val="22"/>
          <w:szCs w:val="22"/>
        </w:rPr>
        <w:t>oard confirmed its Investment Policy is still applicable with the current economic climate.  The Board will continue to invest with the four major banks (BNZ, ANZ, Westpac and Kiwi Bank) and any final decision for the length of the term investment would be decided at time of reinvestment with the intention to vary term length for cash flow stability (6 months to two years).</w:t>
      </w:r>
    </w:p>
    <w:p w14:paraId="35704BFD" w14:textId="1926BE8A" w:rsidR="008B2164" w:rsidRDefault="008B2164" w:rsidP="006D4CBF">
      <w:pPr>
        <w:rPr>
          <w:rFonts w:asciiTheme="majorHAnsi" w:hAnsiTheme="majorHAnsi" w:cs="Times New Roman"/>
          <w:sz w:val="22"/>
          <w:szCs w:val="22"/>
        </w:rPr>
      </w:pPr>
    </w:p>
    <w:p w14:paraId="7E687A0A" w14:textId="6483D92B" w:rsidR="008B2164" w:rsidRDefault="008B2164" w:rsidP="006D4CBF">
      <w:pPr>
        <w:rPr>
          <w:rFonts w:asciiTheme="majorHAnsi" w:hAnsiTheme="majorHAnsi" w:cs="Times New Roman"/>
          <w:color w:val="auto"/>
          <w:sz w:val="22"/>
          <w:szCs w:val="22"/>
        </w:rPr>
      </w:pPr>
      <w:r w:rsidRPr="00307BB5">
        <w:rPr>
          <w:rFonts w:asciiTheme="majorHAnsi" w:hAnsiTheme="majorHAnsi" w:cs="Times New Roman"/>
          <w:color w:val="auto"/>
          <w:sz w:val="22"/>
          <w:szCs w:val="22"/>
        </w:rPr>
        <w:t>At the June 2017 Board meeting, the Board</w:t>
      </w:r>
      <w:r w:rsidR="008D3ED4" w:rsidRPr="00307BB5">
        <w:rPr>
          <w:rFonts w:asciiTheme="majorHAnsi" w:hAnsiTheme="majorHAnsi" w:cs="Times New Roman"/>
          <w:color w:val="auto"/>
          <w:sz w:val="22"/>
          <w:szCs w:val="22"/>
        </w:rPr>
        <w:t xml:space="preserve"> confirmed the amended reserves policy content to include more detail on Responsibilities, Legislation and Use of the Reserves. The Board confirmed that it will continue to invest with the four major banks (BNZ, ANZ, Westpac and </w:t>
      </w:r>
      <w:r w:rsidR="008D3ED4" w:rsidRPr="00307BB5">
        <w:rPr>
          <w:rFonts w:asciiTheme="majorHAnsi" w:hAnsiTheme="majorHAnsi" w:cs="Times New Roman"/>
          <w:color w:val="auto"/>
          <w:sz w:val="22"/>
          <w:szCs w:val="22"/>
        </w:rPr>
        <w:lastRenderedPageBreak/>
        <w:t>Kiwibank) and any final decision for the length of the term investment would be decided at time of reinvestment with the intention to vary term length for cash flow stability (6 months to two years).</w:t>
      </w:r>
    </w:p>
    <w:p w14:paraId="312F390A" w14:textId="207DD07D" w:rsidR="008E6E65" w:rsidRDefault="008E6E65" w:rsidP="006D4CBF">
      <w:pPr>
        <w:rPr>
          <w:rFonts w:asciiTheme="majorHAnsi" w:hAnsiTheme="majorHAnsi" w:cs="Times New Roman"/>
          <w:color w:val="auto"/>
          <w:sz w:val="22"/>
          <w:szCs w:val="22"/>
        </w:rPr>
      </w:pPr>
    </w:p>
    <w:p w14:paraId="15B419F0" w14:textId="7A3DC367" w:rsidR="008E6E65" w:rsidRDefault="00DF795E" w:rsidP="006D4CBF">
      <w:pPr>
        <w:rPr>
          <w:rFonts w:asciiTheme="majorHAnsi" w:hAnsiTheme="majorHAnsi" w:cs="Times New Roman"/>
          <w:color w:val="auto"/>
          <w:sz w:val="22"/>
          <w:szCs w:val="22"/>
        </w:rPr>
      </w:pPr>
      <w:r w:rsidRPr="00B14731">
        <w:rPr>
          <w:rFonts w:asciiTheme="majorHAnsi" w:hAnsiTheme="majorHAnsi" w:cs="Times New Roman"/>
          <w:color w:val="auto"/>
          <w:sz w:val="22"/>
          <w:szCs w:val="22"/>
        </w:rPr>
        <w:t xml:space="preserve">On </w:t>
      </w:r>
      <w:proofErr w:type="gramStart"/>
      <w:r w:rsidRPr="00B14731">
        <w:rPr>
          <w:rFonts w:asciiTheme="majorHAnsi" w:hAnsiTheme="majorHAnsi" w:cs="Times New Roman"/>
          <w:color w:val="auto"/>
          <w:sz w:val="22"/>
          <w:szCs w:val="22"/>
        </w:rPr>
        <w:t>14 February 2019</w:t>
      </w:r>
      <w:proofErr w:type="gramEnd"/>
      <w:r w:rsidRPr="00B14731">
        <w:rPr>
          <w:rFonts w:asciiTheme="majorHAnsi" w:hAnsiTheme="majorHAnsi" w:cs="Times New Roman"/>
          <w:color w:val="auto"/>
          <w:sz w:val="22"/>
          <w:szCs w:val="22"/>
        </w:rPr>
        <w:t xml:space="preserve"> the NZ Pork Board adopted a Statement of Investment Policy and Objectives (SIPO), determined a satisfactory Investment Strategy and resolved to place $</w:t>
      </w:r>
      <w:r w:rsidR="00D815BF">
        <w:rPr>
          <w:rFonts w:asciiTheme="majorHAnsi" w:hAnsiTheme="majorHAnsi" w:cs="Times New Roman"/>
          <w:color w:val="auto"/>
          <w:sz w:val="22"/>
          <w:szCs w:val="22"/>
        </w:rPr>
        <w:t>4</w:t>
      </w:r>
      <w:r w:rsidRPr="00B14731">
        <w:rPr>
          <w:rFonts w:asciiTheme="majorHAnsi" w:hAnsiTheme="majorHAnsi" w:cs="Times New Roman"/>
          <w:color w:val="auto"/>
          <w:sz w:val="22"/>
          <w:szCs w:val="22"/>
        </w:rPr>
        <w:t>,000,000 with NZ Funds under a Managed Portfolio Service Agreement.</w:t>
      </w:r>
      <w:r w:rsidR="00D815BF">
        <w:rPr>
          <w:rFonts w:asciiTheme="majorHAnsi" w:hAnsiTheme="majorHAnsi" w:cs="Times New Roman"/>
          <w:color w:val="auto"/>
          <w:sz w:val="22"/>
          <w:szCs w:val="22"/>
        </w:rPr>
        <w:t xml:space="preserve"> The initial funds placement was $3,000,000.</w:t>
      </w:r>
    </w:p>
    <w:p w14:paraId="67C468C3" w14:textId="74F3F7C0" w:rsidR="00555A61" w:rsidRDefault="00555A61" w:rsidP="006D4CBF">
      <w:pPr>
        <w:rPr>
          <w:rFonts w:asciiTheme="majorHAnsi" w:hAnsiTheme="majorHAnsi" w:cs="Times New Roman"/>
          <w:color w:val="auto"/>
          <w:sz w:val="22"/>
          <w:szCs w:val="22"/>
        </w:rPr>
      </w:pPr>
    </w:p>
    <w:p w14:paraId="62483337" w14:textId="77777777" w:rsidR="00555A61" w:rsidRPr="00B14731" w:rsidRDefault="00555A61" w:rsidP="00B14731">
      <w:pPr>
        <w:rPr>
          <w:rFonts w:asciiTheme="majorHAnsi" w:hAnsiTheme="majorHAnsi" w:cs="Times New Roman"/>
          <w:color w:val="auto"/>
          <w:sz w:val="22"/>
          <w:szCs w:val="22"/>
        </w:rPr>
      </w:pPr>
      <w:r w:rsidRPr="00B14731">
        <w:rPr>
          <w:rFonts w:asciiTheme="majorHAnsi" w:hAnsiTheme="majorHAnsi" w:cs="Times New Roman"/>
          <w:color w:val="auto"/>
          <w:sz w:val="22"/>
          <w:szCs w:val="22"/>
        </w:rPr>
        <w:t>The Board resolved on 14 February 2019 to transfer upon maturity, the remaining $1,000,000 of funds currently on Term Deposit with BNZ, Kiwibank and Westpac to NZ Funds for investment under the Managed Portfolio Service Agreement.</w:t>
      </w:r>
    </w:p>
    <w:p w14:paraId="06E1BF6B" w14:textId="77777777" w:rsidR="00555A61" w:rsidRPr="00B14731" w:rsidRDefault="00555A61" w:rsidP="00B14731">
      <w:pPr>
        <w:rPr>
          <w:rFonts w:asciiTheme="majorHAnsi" w:hAnsiTheme="majorHAnsi" w:cs="Times New Roman"/>
          <w:color w:val="auto"/>
          <w:sz w:val="22"/>
          <w:szCs w:val="22"/>
        </w:rPr>
      </w:pPr>
    </w:p>
    <w:p w14:paraId="1D7917B5" w14:textId="5C89D538" w:rsidR="00555A61" w:rsidRPr="00B14731" w:rsidRDefault="00555A61" w:rsidP="00B14731">
      <w:pPr>
        <w:rPr>
          <w:rFonts w:asciiTheme="majorHAnsi" w:hAnsiTheme="majorHAnsi" w:cs="Times New Roman"/>
          <w:color w:val="auto"/>
          <w:sz w:val="22"/>
          <w:szCs w:val="22"/>
        </w:rPr>
      </w:pPr>
      <w:r w:rsidRPr="00B14731">
        <w:rPr>
          <w:rFonts w:asciiTheme="majorHAnsi" w:hAnsiTheme="majorHAnsi" w:cs="Times New Roman"/>
          <w:color w:val="auto"/>
          <w:sz w:val="22"/>
          <w:szCs w:val="22"/>
        </w:rPr>
        <w:t xml:space="preserve">As detailed in the Board’s Statement of Investment Policy and Objectives (SIPO), the Board will formally review the SIPO </w:t>
      </w:r>
      <w:r w:rsidR="009144A4">
        <w:rPr>
          <w:rFonts w:asciiTheme="majorHAnsi" w:hAnsiTheme="majorHAnsi" w:cs="Times New Roman"/>
          <w:color w:val="auto"/>
          <w:sz w:val="22"/>
          <w:szCs w:val="22"/>
        </w:rPr>
        <w:t xml:space="preserve">at least </w:t>
      </w:r>
      <w:r w:rsidR="002230F4">
        <w:rPr>
          <w:rFonts w:asciiTheme="majorHAnsi" w:hAnsiTheme="majorHAnsi" w:cs="Times New Roman"/>
          <w:color w:val="auto"/>
          <w:sz w:val="22"/>
          <w:szCs w:val="22"/>
        </w:rPr>
        <w:t>annually</w:t>
      </w:r>
      <w:r w:rsidRPr="00B14731">
        <w:rPr>
          <w:rFonts w:asciiTheme="majorHAnsi" w:hAnsiTheme="majorHAnsi" w:cs="Times New Roman"/>
          <w:color w:val="auto"/>
          <w:sz w:val="22"/>
          <w:szCs w:val="22"/>
        </w:rPr>
        <w:t>.</w:t>
      </w:r>
    </w:p>
    <w:p w14:paraId="4E7464B4" w14:textId="77777777" w:rsidR="00555A61" w:rsidRPr="00B14731" w:rsidRDefault="00555A61" w:rsidP="006D4CBF">
      <w:pPr>
        <w:rPr>
          <w:rFonts w:asciiTheme="majorHAnsi" w:hAnsiTheme="majorHAnsi" w:cs="Times New Roman"/>
          <w:color w:val="auto"/>
          <w:sz w:val="22"/>
          <w:szCs w:val="22"/>
        </w:rPr>
      </w:pPr>
    </w:p>
    <w:p w14:paraId="224F05D3" w14:textId="77777777" w:rsidR="008B2164" w:rsidRPr="002B1005" w:rsidRDefault="008B2164" w:rsidP="006D4CBF">
      <w:pPr>
        <w:rPr>
          <w:rFonts w:asciiTheme="majorHAnsi" w:hAnsiTheme="majorHAnsi" w:cs="Times New Roman"/>
          <w:sz w:val="22"/>
          <w:szCs w:val="22"/>
        </w:rPr>
      </w:pPr>
    </w:p>
    <w:p w14:paraId="7DB19DA2" w14:textId="4DB43F8B" w:rsidR="00A15121" w:rsidRPr="00A15121" w:rsidRDefault="00A15121" w:rsidP="00A15121">
      <w:pPr>
        <w:pStyle w:val="Normal1"/>
        <w:ind w:left="720"/>
        <w:contextualSpacing/>
        <w:jc w:val="center"/>
        <w:rPr>
          <w:rFonts w:asciiTheme="majorHAnsi" w:hAnsiTheme="majorHAnsi" w:cs="Times New Roman"/>
          <w:b/>
          <w:color w:val="auto"/>
          <w:sz w:val="22"/>
          <w:szCs w:val="22"/>
        </w:rPr>
      </w:pPr>
      <w:r w:rsidRPr="00A15121">
        <w:rPr>
          <w:rFonts w:asciiTheme="majorHAnsi" w:hAnsiTheme="majorHAnsi" w:cs="Times New Roman"/>
          <w:b/>
          <w:color w:val="auto"/>
          <w:sz w:val="22"/>
          <w:szCs w:val="22"/>
        </w:rPr>
        <w:t xml:space="preserve">This </w:t>
      </w:r>
      <w:r w:rsidR="008A0C31">
        <w:rPr>
          <w:rFonts w:asciiTheme="majorHAnsi" w:hAnsiTheme="majorHAnsi" w:cs="Times New Roman"/>
          <w:b/>
          <w:color w:val="auto"/>
          <w:sz w:val="22"/>
          <w:szCs w:val="22"/>
        </w:rPr>
        <w:t xml:space="preserve">policy </w:t>
      </w:r>
      <w:r w:rsidR="00307BB5">
        <w:rPr>
          <w:rFonts w:asciiTheme="majorHAnsi" w:hAnsiTheme="majorHAnsi" w:cs="Times New Roman"/>
          <w:b/>
          <w:color w:val="auto"/>
          <w:sz w:val="22"/>
          <w:szCs w:val="22"/>
        </w:rPr>
        <w:t xml:space="preserve">was </w:t>
      </w:r>
      <w:r w:rsidR="008D40B5">
        <w:rPr>
          <w:rFonts w:asciiTheme="majorHAnsi" w:hAnsiTheme="majorHAnsi" w:cs="Times New Roman"/>
          <w:b/>
          <w:color w:val="auto"/>
          <w:sz w:val="22"/>
          <w:szCs w:val="22"/>
        </w:rPr>
        <w:t xml:space="preserve">reviewed </w:t>
      </w:r>
      <w:r w:rsidR="00307BB5">
        <w:rPr>
          <w:rFonts w:asciiTheme="majorHAnsi" w:hAnsiTheme="majorHAnsi" w:cs="Times New Roman"/>
          <w:b/>
          <w:color w:val="auto"/>
          <w:sz w:val="22"/>
          <w:szCs w:val="22"/>
        </w:rPr>
        <w:t xml:space="preserve">on </w:t>
      </w:r>
      <w:r w:rsidR="00BE7FB0">
        <w:rPr>
          <w:rFonts w:asciiTheme="majorHAnsi" w:hAnsiTheme="majorHAnsi" w:cs="Times New Roman"/>
          <w:b/>
          <w:color w:val="auto"/>
          <w:sz w:val="22"/>
          <w:szCs w:val="22"/>
        </w:rPr>
        <w:t>20</w:t>
      </w:r>
      <w:r w:rsidR="005038E5">
        <w:rPr>
          <w:rFonts w:asciiTheme="majorHAnsi" w:hAnsiTheme="majorHAnsi" w:cs="Times New Roman"/>
          <w:b/>
          <w:color w:val="auto"/>
          <w:sz w:val="22"/>
          <w:szCs w:val="22"/>
        </w:rPr>
        <w:t xml:space="preserve"> Ju</w:t>
      </w:r>
      <w:r w:rsidR="00BE7FB0">
        <w:rPr>
          <w:rFonts w:asciiTheme="majorHAnsi" w:hAnsiTheme="majorHAnsi" w:cs="Times New Roman"/>
          <w:b/>
          <w:color w:val="auto"/>
          <w:sz w:val="22"/>
          <w:szCs w:val="22"/>
        </w:rPr>
        <w:t>ly</w:t>
      </w:r>
      <w:r w:rsidR="00A41DAF">
        <w:rPr>
          <w:rFonts w:asciiTheme="majorHAnsi" w:hAnsiTheme="majorHAnsi" w:cs="Times New Roman"/>
          <w:b/>
          <w:color w:val="auto"/>
          <w:sz w:val="22"/>
          <w:szCs w:val="22"/>
        </w:rPr>
        <w:t xml:space="preserve"> 20</w:t>
      </w:r>
      <w:r w:rsidR="005038E5">
        <w:rPr>
          <w:rFonts w:asciiTheme="majorHAnsi" w:hAnsiTheme="majorHAnsi" w:cs="Times New Roman"/>
          <w:b/>
          <w:color w:val="auto"/>
          <w:sz w:val="22"/>
          <w:szCs w:val="22"/>
        </w:rPr>
        <w:t>20</w:t>
      </w:r>
      <w:r w:rsidR="008D40B5">
        <w:rPr>
          <w:rFonts w:asciiTheme="majorHAnsi" w:hAnsiTheme="majorHAnsi" w:cs="Times New Roman"/>
          <w:b/>
          <w:color w:val="auto"/>
          <w:sz w:val="22"/>
          <w:szCs w:val="22"/>
        </w:rPr>
        <w:t xml:space="preserve"> </w:t>
      </w:r>
      <w:r w:rsidR="00307BB5">
        <w:rPr>
          <w:rFonts w:asciiTheme="majorHAnsi" w:hAnsiTheme="majorHAnsi" w:cs="Times New Roman"/>
          <w:b/>
          <w:color w:val="auto"/>
          <w:sz w:val="22"/>
          <w:szCs w:val="22"/>
        </w:rPr>
        <w:t xml:space="preserve">by the NZPork Directors and the </w:t>
      </w:r>
      <w:r w:rsidR="005038E5">
        <w:rPr>
          <w:rFonts w:asciiTheme="majorHAnsi" w:hAnsiTheme="majorHAnsi" w:cs="Times New Roman"/>
          <w:b/>
          <w:color w:val="auto"/>
          <w:sz w:val="22"/>
          <w:szCs w:val="22"/>
        </w:rPr>
        <w:t>Chief Executive</w:t>
      </w:r>
      <w:r w:rsidR="00307BB5">
        <w:rPr>
          <w:rFonts w:asciiTheme="majorHAnsi" w:hAnsiTheme="majorHAnsi" w:cs="Times New Roman"/>
          <w:b/>
          <w:color w:val="auto"/>
          <w:sz w:val="22"/>
          <w:szCs w:val="22"/>
        </w:rPr>
        <w:t xml:space="preserve">. This policy will be reviewed annually. </w:t>
      </w:r>
    </w:p>
    <w:sectPr w:rsidR="00A15121" w:rsidRPr="00A15121" w:rsidSect="00B14731">
      <w:pgSz w:w="11900" w:h="16840"/>
      <w:pgMar w:top="1440" w:right="1800" w:bottom="1440" w:left="1800" w:header="454" w:footer="113"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EFB1" w14:textId="77777777" w:rsidR="00A1128E" w:rsidRDefault="00A1128E">
      <w:r>
        <w:separator/>
      </w:r>
    </w:p>
  </w:endnote>
  <w:endnote w:type="continuationSeparator" w:id="0">
    <w:p w14:paraId="2ECE2BB4" w14:textId="77777777" w:rsidR="00A1128E" w:rsidRDefault="00A1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7138"/>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0881C6C7" w14:textId="2F2FE7ED" w:rsidR="00761F8A" w:rsidRPr="00761F8A" w:rsidRDefault="00132AEB" w:rsidP="00761F8A">
        <w:pPr>
          <w:pStyle w:val="Footer"/>
          <w:pBdr>
            <w:top w:val="single" w:sz="4" w:space="1" w:color="D9D9D9" w:themeColor="background1" w:themeShade="D9"/>
          </w:pBdr>
          <w:rPr>
            <w:rFonts w:asciiTheme="minorHAnsi" w:hAnsiTheme="minorHAnsi"/>
            <w:b/>
            <w:bCs/>
            <w:sz w:val="20"/>
            <w:szCs w:val="20"/>
          </w:rPr>
        </w:pPr>
        <w:r>
          <w:rPr>
            <w:rFonts w:asciiTheme="minorHAnsi" w:hAnsiTheme="minorHAnsi"/>
            <w:sz w:val="20"/>
            <w:szCs w:val="20"/>
          </w:rPr>
          <w:t xml:space="preserve">NZPork </w:t>
        </w:r>
        <w:r w:rsidR="00307BB5">
          <w:rPr>
            <w:rFonts w:asciiTheme="minorHAnsi" w:hAnsiTheme="minorHAnsi"/>
            <w:sz w:val="20"/>
            <w:szCs w:val="20"/>
          </w:rPr>
          <w:t>Reserves Policy v</w:t>
        </w:r>
        <w:r w:rsidR="00B14731">
          <w:rPr>
            <w:rFonts w:asciiTheme="minorHAnsi" w:hAnsiTheme="minorHAnsi"/>
            <w:sz w:val="20"/>
            <w:szCs w:val="20"/>
          </w:rPr>
          <w:t>2</w:t>
        </w:r>
        <w:r w:rsidR="00307BB5">
          <w:rPr>
            <w:rFonts w:asciiTheme="minorHAnsi" w:hAnsiTheme="minorHAnsi"/>
            <w:sz w:val="20"/>
            <w:szCs w:val="20"/>
          </w:rPr>
          <w:t xml:space="preserve">, </w:t>
        </w:r>
        <w:r w:rsidR="005038E5">
          <w:rPr>
            <w:rFonts w:asciiTheme="minorHAnsi" w:hAnsiTheme="minorHAnsi"/>
            <w:sz w:val="20"/>
            <w:szCs w:val="20"/>
          </w:rPr>
          <w:t>June</w:t>
        </w:r>
        <w:r w:rsidR="00B14731">
          <w:rPr>
            <w:rFonts w:asciiTheme="minorHAnsi" w:hAnsiTheme="minorHAnsi"/>
            <w:sz w:val="20"/>
            <w:szCs w:val="20"/>
          </w:rPr>
          <w:t xml:space="preserve"> 20</w:t>
        </w:r>
        <w:r w:rsidR="005038E5">
          <w:rPr>
            <w:rFonts w:asciiTheme="minorHAnsi" w:hAnsiTheme="minorHAnsi"/>
            <w:sz w:val="20"/>
            <w:szCs w:val="20"/>
          </w:rPr>
          <w:t>20</w:t>
        </w:r>
        <w:r w:rsidR="00761F8A" w:rsidRPr="00761F8A">
          <w:rPr>
            <w:rFonts w:asciiTheme="minorHAnsi" w:hAnsiTheme="minorHAnsi"/>
            <w:sz w:val="20"/>
            <w:szCs w:val="20"/>
          </w:rPr>
          <w:t xml:space="preserve">  </w:t>
        </w:r>
        <w:r w:rsidR="00761F8A">
          <w:rPr>
            <w:rFonts w:asciiTheme="minorHAnsi" w:hAnsiTheme="minorHAnsi"/>
            <w:sz w:val="20"/>
            <w:szCs w:val="20"/>
          </w:rPr>
          <w:t xml:space="preserve">                   </w:t>
        </w:r>
        <w:r w:rsidR="002A5538">
          <w:rPr>
            <w:rFonts w:asciiTheme="minorHAnsi" w:hAnsiTheme="minorHAnsi"/>
            <w:sz w:val="20"/>
            <w:szCs w:val="20"/>
          </w:rPr>
          <w:t xml:space="preserve">    </w:t>
        </w:r>
        <w:r w:rsidR="00B14731">
          <w:rPr>
            <w:rFonts w:asciiTheme="minorHAnsi" w:hAnsiTheme="minorHAnsi"/>
            <w:sz w:val="20"/>
            <w:szCs w:val="20"/>
          </w:rPr>
          <w:tab/>
        </w:r>
        <w:r w:rsidR="008A0C31">
          <w:rPr>
            <w:rFonts w:asciiTheme="minorHAnsi" w:hAnsiTheme="minorHAnsi"/>
            <w:sz w:val="20"/>
            <w:szCs w:val="20"/>
          </w:rPr>
          <w:tab/>
        </w:r>
        <w:r w:rsidR="00B14731" w:rsidRPr="00B14731">
          <w:rPr>
            <w:rFonts w:asciiTheme="minorHAnsi" w:hAnsiTheme="minorHAnsi"/>
            <w:sz w:val="20"/>
            <w:szCs w:val="20"/>
          </w:rPr>
          <w:t xml:space="preserve">Page | </w:t>
        </w:r>
        <w:r w:rsidR="00B14731" w:rsidRPr="00B14731">
          <w:rPr>
            <w:rFonts w:asciiTheme="minorHAnsi" w:hAnsiTheme="minorHAnsi"/>
            <w:sz w:val="20"/>
            <w:szCs w:val="20"/>
          </w:rPr>
          <w:fldChar w:fldCharType="begin"/>
        </w:r>
        <w:r w:rsidR="00B14731" w:rsidRPr="00B14731">
          <w:rPr>
            <w:rFonts w:asciiTheme="minorHAnsi" w:hAnsiTheme="minorHAnsi"/>
            <w:sz w:val="20"/>
            <w:szCs w:val="20"/>
          </w:rPr>
          <w:instrText xml:space="preserve"> PAGE   \* MERGEFORMAT </w:instrText>
        </w:r>
        <w:r w:rsidR="00B14731" w:rsidRPr="00B14731">
          <w:rPr>
            <w:rFonts w:asciiTheme="minorHAnsi" w:hAnsiTheme="minorHAnsi"/>
            <w:sz w:val="20"/>
            <w:szCs w:val="20"/>
          </w:rPr>
          <w:fldChar w:fldCharType="separate"/>
        </w:r>
        <w:r w:rsidR="00B14731" w:rsidRPr="00B14731">
          <w:rPr>
            <w:rFonts w:asciiTheme="minorHAnsi" w:hAnsiTheme="minorHAnsi"/>
            <w:noProof/>
            <w:sz w:val="20"/>
            <w:szCs w:val="20"/>
          </w:rPr>
          <w:t>1</w:t>
        </w:r>
        <w:r w:rsidR="00B14731" w:rsidRPr="00B14731">
          <w:rPr>
            <w:rFonts w:asciiTheme="minorHAnsi" w:hAnsiTheme="minorHAnsi"/>
            <w:noProof/>
            <w:sz w:val="20"/>
            <w:szCs w:val="20"/>
          </w:rPr>
          <w:fldChar w:fldCharType="end"/>
        </w:r>
      </w:p>
    </w:sdtContent>
  </w:sdt>
  <w:p w14:paraId="1DF483B5" w14:textId="5005C5CA" w:rsidR="002D4BBB" w:rsidRDefault="0072709B" w:rsidP="00BD4965">
    <w:pPr>
      <w:pStyle w:val="Normal1"/>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F263" w14:textId="77777777" w:rsidR="00A1128E" w:rsidRDefault="00A1128E">
      <w:r>
        <w:separator/>
      </w:r>
    </w:p>
  </w:footnote>
  <w:footnote w:type="continuationSeparator" w:id="0">
    <w:p w14:paraId="1B09E11E" w14:textId="77777777" w:rsidR="00A1128E" w:rsidRDefault="00A1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0016" w14:textId="4012F59B" w:rsidR="002A3269" w:rsidRDefault="001C5D67" w:rsidP="002A3269">
    <w:pPr>
      <w:pStyle w:val="Header"/>
      <w:ind w:left="7920"/>
    </w:pPr>
    <w:r>
      <w:rPr>
        <w:noProof/>
        <w:lang w:val="en-US"/>
      </w:rPr>
      <w:drawing>
        <wp:inline distT="0" distB="0" distL="0" distR="0" wp14:anchorId="32651EBD" wp14:editId="33E9B11C">
          <wp:extent cx="790575" cy="9627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 Pork Logo FIN 27-2-08.jpg"/>
                  <pic:cNvPicPr/>
                </pic:nvPicPr>
                <pic:blipFill>
                  <a:blip r:embed="rId1">
                    <a:extLst>
                      <a:ext uri="{28A0092B-C50C-407E-A947-70E740481C1C}">
                        <a14:useLocalDpi xmlns:a14="http://schemas.microsoft.com/office/drawing/2010/main" val="0"/>
                      </a:ext>
                    </a:extLst>
                  </a:blip>
                  <a:stretch>
                    <a:fillRect/>
                  </a:stretch>
                </pic:blipFill>
                <pic:spPr>
                  <a:xfrm>
                    <a:off x="0" y="0"/>
                    <a:ext cx="799240" cy="973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75pt" o:bullet="t">
        <v:imagedata r:id="rId1" o:title="jean-victor-balin-tick[1]"/>
      </v:shape>
    </w:pict>
  </w:numPicBullet>
  <w:abstractNum w:abstractNumId="0" w15:restartNumberingAfterBreak="0">
    <w:nsid w:val="016B2750"/>
    <w:multiLevelType w:val="hybridMultilevel"/>
    <w:tmpl w:val="72466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1E8B"/>
    <w:multiLevelType w:val="multilevel"/>
    <w:tmpl w:val="C300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EDA"/>
    <w:multiLevelType w:val="hybridMultilevel"/>
    <w:tmpl w:val="1E1A163C"/>
    <w:lvl w:ilvl="0" w:tplc="078002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2C66"/>
    <w:multiLevelType w:val="multilevel"/>
    <w:tmpl w:val="1400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E7093"/>
    <w:multiLevelType w:val="multilevel"/>
    <w:tmpl w:val="0DD4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543F8"/>
    <w:multiLevelType w:val="multilevel"/>
    <w:tmpl w:val="A12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C7501"/>
    <w:multiLevelType w:val="multilevel"/>
    <w:tmpl w:val="DFE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B4692"/>
    <w:multiLevelType w:val="hybridMultilevel"/>
    <w:tmpl w:val="01B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599E"/>
    <w:multiLevelType w:val="multilevel"/>
    <w:tmpl w:val="845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4D2AEE"/>
    <w:multiLevelType w:val="hybridMultilevel"/>
    <w:tmpl w:val="CABC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54CD"/>
    <w:multiLevelType w:val="multilevel"/>
    <w:tmpl w:val="EAE4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CF042A"/>
    <w:multiLevelType w:val="hybridMultilevel"/>
    <w:tmpl w:val="44249EB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7E959BB"/>
    <w:multiLevelType w:val="hybridMultilevel"/>
    <w:tmpl w:val="43B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977B4"/>
    <w:multiLevelType w:val="hybridMultilevel"/>
    <w:tmpl w:val="006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438E"/>
    <w:multiLevelType w:val="hybridMultilevel"/>
    <w:tmpl w:val="E3F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55B6"/>
    <w:multiLevelType w:val="multilevel"/>
    <w:tmpl w:val="03D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9552EB"/>
    <w:multiLevelType w:val="hybridMultilevel"/>
    <w:tmpl w:val="7B3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0"/>
  </w:num>
  <w:num w:numId="5">
    <w:abstractNumId w:val="1"/>
  </w:num>
  <w:num w:numId="6">
    <w:abstractNumId w:val="15"/>
  </w:num>
  <w:num w:numId="7">
    <w:abstractNumId w:val="8"/>
  </w:num>
  <w:num w:numId="8">
    <w:abstractNumId w:val="6"/>
  </w:num>
  <w:num w:numId="9">
    <w:abstractNumId w:val="7"/>
  </w:num>
  <w:num w:numId="10">
    <w:abstractNumId w:val="5"/>
  </w:num>
  <w:num w:numId="11">
    <w:abstractNumId w:val="9"/>
  </w:num>
  <w:num w:numId="12">
    <w:abstractNumId w:val="16"/>
  </w:num>
  <w:num w:numId="13">
    <w:abstractNumId w:val="13"/>
  </w:num>
  <w:num w:numId="14">
    <w:abstractNumId w:val="14"/>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62"/>
    <w:rsid w:val="00043F15"/>
    <w:rsid w:val="00072C37"/>
    <w:rsid w:val="00086638"/>
    <w:rsid w:val="00090EF7"/>
    <w:rsid w:val="000A00D3"/>
    <w:rsid w:val="000A0A38"/>
    <w:rsid w:val="000A46C6"/>
    <w:rsid w:val="000B05DE"/>
    <w:rsid w:val="000D5FA4"/>
    <w:rsid w:val="000E0D83"/>
    <w:rsid w:val="000E0F80"/>
    <w:rsid w:val="000E2C39"/>
    <w:rsid w:val="000E4D49"/>
    <w:rsid w:val="00100731"/>
    <w:rsid w:val="00100FB5"/>
    <w:rsid w:val="0010174F"/>
    <w:rsid w:val="00132AEB"/>
    <w:rsid w:val="001570C4"/>
    <w:rsid w:val="00171CBF"/>
    <w:rsid w:val="00172F0D"/>
    <w:rsid w:val="00175FE9"/>
    <w:rsid w:val="001B3FB2"/>
    <w:rsid w:val="001C10C0"/>
    <w:rsid w:val="001C5D67"/>
    <w:rsid w:val="001E78A9"/>
    <w:rsid w:val="001E79F9"/>
    <w:rsid w:val="00203F98"/>
    <w:rsid w:val="00204E2D"/>
    <w:rsid w:val="002107A6"/>
    <w:rsid w:val="002230F4"/>
    <w:rsid w:val="002571A1"/>
    <w:rsid w:val="00260D20"/>
    <w:rsid w:val="002A3269"/>
    <w:rsid w:val="002A5538"/>
    <w:rsid w:val="002A72F2"/>
    <w:rsid w:val="002B1005"/>
    <w:rsid w:val="002B5420"/>
    <w:rsid w:val="002B6576"/>
    <w:rsid w:val="002E3BE1"/>
    <w:rsid w:val="00304B19"/>
    <w:rsid w:val="00307BB5"/>
    <w:rsid w:val="00350BCC"/>
    <w:rsid w:val="00380529"/>
    <w:rsid w:val="00385332"/>
    <w:rsid w:val="0038567B"/>
    <w:rsid w:val="003B2797"/>
    <w:rsid w:val="003F1F35"/>
    <w:rsid w:val="00461862"/>
    <w:rsid w:val="004771FF"/>
    <w:rsid w:val="004B45DB"/>
    <w:rsid w:val="004B714A"/>
    <w:rsid w:val="004E33EB"/>
    <w:rsid w:val="004E6E12"/>
    <w:rsid w:val="005038E5"/>
    <w:rsid w:val="005071A1"/>
    <w:rsid w:val="00530E83"/>
    <w:rsid w:val="00546242"/>
    <w:rsid w:val="0055099B"/>
    <w:rsid w:val="00555A61"/>
    <w:rsid w:val="00582490"/>
    <w:rsid w:val="005A7983"/>
    <w:rsid w:val="005B08E2"/>
    <w:rsid w:val="005B3967"/>
    <w:rsid w:val="005D2979"/>
    <w:rsid w:val="005D67E1"/>
    <w:rsid w:val="006314AA"/>
    <w:rsid w:val="0063722F"/>
    <w:rsid w:val="00652072"/>
    <w:rsid w:val="00655213"/>
    <w:rsid w:val="006D4CBF"/>
    <w:rsid w:val="006E1818"/>
    <w:rsid w:val="00723AC6"/>
    <w:rsid w:val="0072709B"/>
    <w:rsid w:val="00727983"/>
    <w:rsid w:val="00747D98"/>
    <w:rsid w:val="00754C02"/>
    <w:rsid w:val="00761F8A"/>
    <w:rsid w:val="007B1163"/>
    <w:rsid w:val="007B583D"/>
    <w:rsid w:val="007F556A"/>
    <w:rsid w:val="0082044D"/>
    <w:rsid w:val="00825F00"/>
    <w:rsid w:val="0089743A"/>
    <w:rsid w:val="008A0C31"/>
    <w:rsid w:val="008B2164"/>
    <w:rsid w:val="008D3B5E"/>
    <w:rsid w:val="008D3ED4"/>
    <w:rsid w:val="008D40B5"/>
    <w:rsid w:val="008E6E65"/>
    <w:rsid w:val="008F4225"/>
    <w:rsid w:val="008F6A0B"/>
    <w:rsid w:val="00906419"/>
    <w:rsid w:val="00907653"/>
    <w:rsid w:val="009144A4"/>
    <w:rsid w:val="00924A07"/>
    <w:rsid w:val="00963270"/>
    <w:rsid w:val="0097400F"/>
    <w:rsid w:val="009A070D"/>
    <w:rsid w:val="009D1624"/>
    <w:rsid w:val="009D6A57"/>
    <w:rsid w:val="009E7BFC"/>
    <w:rsid w:val="009F1A0D"/>
    <w:rsid w:val="00A04ABC"/>
    <w:rsid w:val="00A1128E"/>
    <w:rsid w:val="00A15121"/>
    <w:rsid w:val="00A23398"/>
    <w:rsid w:val="00A259D7"/>
    <w:rsid w:val="00A41DAF"/>
    <w:rsid w:val="00A46738"/>
    <w:rsid w:val="00AA39DA"/>
    <w:rsid w:val="00AE25D1"/>
    <w:rsid w:val="00B1179A"/>
    <w:rsid w:val="00B14731"/>
    <w:rsid w:val="00B333AC"/>
    <w:rsid w:val="00B4270E"/>
    <w:rsid w:val="00B6602C"/>
    <w:rsid w:val="00B76A80"/>
    <w:rsid w:val="00BC51B4"/>
    <w:rsid w:val="00BE1767"/>
    <w:rsid w:val="00BE7FB0"/>
    <w:rsid w:val="00C03EB5"/>
    <w:rsid w:val="00C10C43"/>
    <w:rsid w:val="00C725A3"/>
    <w:rsid w:val="00C81448"/>
    <w:rsid w:val="00CA3913"/>
    <w:rsid w:val="00CC1BC4"/>
    <w:rsid w:val="00CD090A"/>
    <w:rsid w:val="00CF09C7"/>
    <w:rsid w:val="00CF715E"/>
    <w:rsid w:val="00D00E87"/>
    <w:rsid w:val="00D163D7"/>
    <w:rsid w:val="00D44468"/>
    <w:rsid w:val="00D815BF"/>
    <w:rsid w:val="00DA32BD"/>
    <w:rsid w:val="00DB3A7C"/>
    <w:rsid w:val="00DD29EC"/>
    <w:rsid w:val="00DF795E"/>
    <w:rsid w:val="00E13117"/>
    <w:rsid w:val="00E26B3D"/>
    <w:rsid w:val="00E40AA4"/>
    <w:rsid w:val="00E612CB"/>
    <w:rsid w:val="00ED0FD0"/>
    <w:rsid w:val="00EE0EB0"/>
    <w:rsid w:val="00F1017E"/>
    <w:rsid w:val="00F51C73"/>
    <w:rsid w:val="00F61BAB"/>
    <w:rsid w:val="00FA04EA"/>
    <w:rsid w:val="00FB6ACB"/>
    <w:rsid w:val="00FD3EEA"/>
    <w:rsid w:val="00FD7DAD"/>
    <w:rsid w:val="00F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6057"/>
  <w15:docId w15:val="{5C3BC3EF-640F-465E-94E3-9B3534C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62"/>
    <w:pPr>
      <w:spacing w:after="0" w:line="240" w:lineRule="auto"/>
    </w:pPr>
    <w:rPr>
      <w:rFonts w:ascii="Cambria" w:eastAsia="Cambria" w:hAnsi="Cambria" w:cs="Cambria"/>
      <w:color w:val="000000"/>
      <w:sz w:val="24"/>
      <w:szCs w:val="24"/>
      <w:lang w:val="en-NZ"/>
    </w:rPr>
  </w:style>
  <w:style w:type="paragraph" w:styleId="Heading1">
    <w:name w:val="heading 1"/>
    <w:basedOn w:val="Normal1"/>
    <w:next w:val="Normal1"/>
    <w:link w:val="Heading1Char"/>
    <w:qFormat/>
    <w:rsid w:val="00461862"/>
    <w:pPr>
      <w:keepNext/>
      <w:keepLines/>
      <w:spacing w:before="480"/>
      <w:jc w:val="both"/>
      <w:outlineLvl w:val="0"/>
    </w:pPr>
    <w:rPr>
      <w:rFonts w:ascii="Times New Roman" w:hAnsi="Times New Roman" w:cs="Times New Roman"/>
      <w:b/>
      <w:color w:val="335B8A"/>
    </w:rPr>
  </w:style>
  <w:style w:type="paragraph" w:styleId="Heading2">
    <w:name w:val="heading 2"/>
    <w:basedOn w:val="Normal"/>
    <w:next w:val="Normal"/>
    <w:link w:val="Heading2Char"/>
    <w:uiPriority w:val="9"/>
    <w:semiHidden/>
    <w:unhideWhenUsed/>
    <w:qFormat/>
    <w:rsid w:val="009F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E0F8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862"/>
    <w:rPr>
      <w:rFonts w:ascii="Times New Roman" w:eastAsia="Cambria" w:hAnsi="Times New Roman" w:cs="Times New Roman"/>
      <w:b/>
      <w:color w:val="335B8A"/>
      <w:sz w:val="24"/>
      <w:szCs w:val="24"/>
      <w:lang w:val="en-NZ"/>
    </w:rPr>
  </w:style>
  <w:style w:type="paragraph" w:customStyle="1" w:styleId="Normal1">
    <w:name w:val="Normal1"/>
    <w:rsid w:val="00461862"/>
    <w:pPr>
      <w:spacing w:after="0" w:line="240" w:lineRule="auto"/>
    </w:pPr>
    <w:rPr>
      <w:rFonts w:ascii="Cambria" w:eastAsia="Cambria" w:hAnsi="Cambria" w:cs="Cambria"/>
      <w:color w:val="000000"/>
      <w:sz w:val="24"/>
      <w:szCs w:val="24"/>
      <w:lang w:val="en-NZ"/>
    </w:rPr>
  </w:style>
  <w:style w:type="character" w:styleId="CommentReference">
    <w:name w:val="annotation reference"/>
    <w:basedOn w:val="DefaultParagraphFont"/>
    <w:uiPriority w:val="99"/>
    <w:semiHidden/>
    <w:unhideWhenUsed/>
    <w:rsid w:val="007F556A"/>
    <w:rPr>
      <w:sz w:val="16"/>
      <w:szCs w:val="16"/>
    </w:rPr>
  </w:style>
  <w:style w:type="paragraph" w:styleId="CommentText">
    <w:name w:val="annotation text"/>
    <w:basedOn w:val="Normal"/>
    <w:link w:val="CommentTextChar"/>
    <w:uiPriority w:val="99"/>
    <w:semiHidden/>
    <w:unhideWhenUsed/>
    <w:rsid w:val="007F556A"/>
    <w:rPr>
      <w:sz w:val="20"/>
      <w:szCs w:val="20"/>
    </w:rPr>
  </w:style>
  <w:style w:type="character" w:customStyle="1" w:styleId="CommentTextChar">
    <w:name w:val="Comment Text Char"/>
    <w:basedOn w:val="DefaultParagraphFont"/>
    <w:link w:val="CommentText"/>
    <w:uiPriority w:val="99"/>
    <w:semiHidden/>
    <w:rsid w:val="007F556A"/>
    <w:rPr>
      <w:rFonts w:ascii="Cambria" w:eastAsia="Cambria" w:hAnsi="Cambria" w:cs="Cambria"/>
      <w:color w:val="000000"/>
      <w:sz w:val="20"/>
      <w:szCs w:val="20"/>
      <w:lang w:val="en-NZ"/>
    </w:rPr>
  </w:style>
  <w:style w:type="paragraph" w:styleId="CommentSubject">
    <w:name w:val="annotation subject"/>
    <w:basedOn w:val="CommentText"/>
    <w:next w:val="CommentText"/>
    <w:link w:val="CommentSubjectChar"/>
    <w:uiPriority w:val="99"/>
    <w:semiHidden/>
    <w:unhideWhenUsed/>
    <w:rsid w:val="007F556A"/>
    <w:rPr>
      <w:b/>
      <w:bCs/>
    </w:rPr>
  </w:style>
  <w:style w:type="character" w:customStyle="1" w:styleId="CommentSubjectChar">
    <w:name w:val="Comment Subject Char"/>
    <w:basedOn w:val="CommentTextChar"/>
    <w:link w:val="CommentSubject"/>
    <w:uiPriority w:val="99"/>
    <w:semiHidden/>
    <w:rsid w:val="007F556A"/>
    <w:rPr>
      <w:rFonts w:ascii="Cambria" w:eastAsia="Cambria" w:hAnsi="Cambria" w:cs="Cambria"/>
      <w:b/>
      <w:bCs/>
      <w:color w:val="000000"/>
      <w:sz w:val="20"/>
      <w:szCs w:val="20"/>
      <w:lang w:val="en-NZ"/>
    </w:rPr>
  </w:style>
  <w:style w:type="paragraph" w:styleId="BalloonText">
    <w:name w:val="Balloon Text"/>
    <w:basedOn w:val="Normal"/>
    <w:link w:val="BalloonTextChar"/>
    <w:uiPriority w:val="99"/>
    <w:semiHidden/>
    <w:unhideWhenUsed/>
    <w:rsid w:val="007F556A"/>
    <w:rPr>
      <w:rFonts w:ascii="Tahoma" w:hAnsi="Tahoma" w:cs="Tahoma"/>
      <w:sz w:val="16"/>
      <w:szCs w:val="16"/>
    </w:rPr>
  </w:style>
  <w:style w:type="character" w:customStyle="1" w:styleId="BalloonTextChar">
    <w:name w:val="Balloon Text Char"/>
    <w:basedOn w:val="DefaultParagraphFont"/>
    <w:link w:val="BalloonText"/>
    <w:uiPriority w:val="99"/>
    <w:semiHidden/>
    <w:rsid w:val="007F556A"/>
    <w:rPr>
      <w:rFonts w:ascii="Tahoma" w:eastAsia="Cambria" w:hAnsi="Tahoma" w:cs="Tahoma"/>
      <w:color w:val="000000"/>
      <w:sz w:val="16"/>
      <w:szCs w:val="16"/>
      <w:lang w:val="en-NZ"/>
    </w:rPr>
  </w:style>
  <w:style w:type="paragraph" w:styleId="Header">
    <w:name w:val="header"/>
    <w:basedOn w:val="Normal"/>
    <w:link w:val="HeaderChar"/>
    <w:uiPriority w:val="99"/>
    <w:unhideWhenUsed/>
    <w:rsid w:val="000E4D49"/>
    <w:pPr>
      <w:tabs>
        <w:tab w:val="center" w:pos="4680"/>
        <w:tab w:val="right" w:pos="9360"/>
      </w:tabs>
    </w:pPr>
  </w:style>
  <w:style w:type="character" w:customStyle="1" w:styleId="HeaderChar">
    <w:name w:val="Header Char"/>
    <w:basedOn w:val="DefaultParagraphFont"/>
    <w:link w:val="Header"/>
    <w:uiPriority w:val="99"/>
    <w:rsid w:val="000E4D49"/>
    <w:rPr>
      <w:rFonts w:ascii="Cambria" w:eastAsia="Cambria" w:hAnsi="Cambria" w:cs="Cambria"/>
      <w:color w:val="000000"/>
      <w:sz w:val="24"/>
      <w:szCs w:val="24"/>
      <w:lang w:val="en-NZ"/>
    </w:rPr>
  </w:style>
  <w:style w:type="paragraph" w:styleId="Footer">
    <w:name w:val="footer"/>
    <w:basedOn w:val="Normal"/>
    <w:link w:val="FooterChar"/>
    <w:uiPriority w:val="99"/>
    <w:unhideWhenUsed/>
    <w:rsid w:val="000E4D49"/>
    <w:pPr>
      <w:tabs>
        <w:tab w:val="center" w:pos="4680"/>
        <w:tab w:val="right" w:pos="9360"/>
      </w:tabs>
    </w:pPr>
  </w:style>
  <w:style w:type="character" w:customStyle="1" w:styleId="FooterChar">
    <w:name w:val="Footer Char"/>
    <w:basedOn w:val="DefaultParagraphFont"/>
    <w:link w:val="Footer"/>
    <w:uiPriority w:val="99"/>
    <w:rsid w:val="000E4D49"/>
    <w:rPr>
      <w:rFonts w:ascii="Cambria" w:eastAsia="Cambria" w:hAnsi="Cambria" w:cs="Cambria"/>
      <w:color w:val="000000"/>
      <w:sz w:val="24"/>
      <w:szCs w:val="24"/>
      <w:lang w:val="en-NZ"/>
    </w:rPr>
  </w:style>
  <w:style w:type="paragraph" w:styleId="NormalWeb">
    <w:name w:val="Normal (Web)"/>
    <w:basedOn w:val="Normal"/>
    <w:uiPriority w:val="99"/>
    <w:semiHidden/>
    <w:unhideWhenUsed/>
    <w:rsid w:val="00AA39DA"/>
    <w:pPr>
      <w:spacing w:before="100" w:beforeAutospacing="1" w:after="100" w:afterAutospacing="1"/>
    </w:pPr>
    <w:rPr>
      <w:rFonts w:ascii="Times" w:eastAsiaTheme="minorEastAsia" w:hAnsi="Times" w:cs="Times New Roman"/>
      <w:color w:val="auto"/>
      <w:sz w:val="20"/>
      <w:szCs w:val="20"/>
    </w:rPr>
  </w:style>
  <w:style w:type="paragraph" w:styleId="BodyText">
    <w:name w:val="Body Text"/>
    <w:basedOn w:val="Normal"/>
    <w:link w:val="BodyTextChar"/>
    <w:rsid w:val="00AA39DA"/>
    <w:pPr>
      <w:spacing w:after="220" w:line="220" w:lineRule="atLeast"/>
      <w:ind w:left="840" w:right="-360"/>
    </w:pPr>
    <w:rPr>
      <w:rFonts w:ascii="Times New Roman" w:eastAsia="Times New Roman" w:hAnsi="Times New Roman" w:cs="Times New Roman"/>
      <w:color w:val="auto"/>
      <w:sz w:val="20"/>
      <w:szCs w:val="20"/>
      <w:lang w:val="en-US"/>
    </w:rPr>
  </w:style>
  <w:style w:type="character" w:customStyle="1" w:styleId="BodyTextChar">
    <w:name w:val="Body Text Char"/>
    <w:basedOn w:val="DefaultParagraphFont"/>
    <w:link w:val="BodyText"/>
    <w:rsid w:val="00AA39D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00E87"/>
    <w:rPr>
      <w:color w:val="0563C1" w:themeColor="hyperlink"/>
      <w:u w:val="single"/>
    </w:rPr>
  </w:style>
  <w:style w:type="character" w:customStyle="1" w:styleId="apple-converted-space">
    <w:name w:val="apple-converted-space"/>
    <w:basedOn w:val="DefaultParagraphFont"/>
    <w:rsid w:val="002A72F2"/>
  </w:style>
  <w:style w:type="character" w:customStyle="1" w:styleId="hit">
    <w:name w:val="hit"/>
    <w:basedOn w:val="DefaultParagraphFont"/>
    <w:rsid w:val="002A72F2"/>
  </w:style>
  <w:style w:type="character" w:customStyle="1" w:styleId="Heading5Char">
    <w:name w:val="Heading 5 Char"/>
    <w:basedOn w:val="DefaultParagraphFont"/>
    <w:link w:val="Heading5"/>
    <w:uiPriority w:val="9"/>
    <w:semiHidden/>
    <w:rsid w:val="000E0F80"/>
    <w:rPr>
      <w:rFonts w:asciiTheme="majorHAnsi" w:eastAsiaTheme="majorEastAsia" w:hAnsiTheme="majorHAnsi" w:cstheme="majorBidi"/>
      <w:color w:val="2E74B5" w:themeColor="accent1" w:themeShade="BF"/>
      <w:sz w:val="24"/>
      <w:szCs w:val="24"/>
      <w:lang w:val="en-NZ"/>
    </w:rPr>
  </w:style>
  <w:style w:type="paragraph" w:customStyle="1" w:styleId="labelled">
    <w:name w:val="labelled"/>
    <w:basedOn w:val="Normal"/>
    <w:rsid w:val="000E0F80"/>
    <w:pPr>
      <w:spacing w:before="100" w:beforeAutospacing="1" w:after="100" w:afterAutospacing="1"/>
    </w:pPr>
    <w:rPr>
      <w:rFonts w:ascii="Times New Roman" w:eastAsia="Times New Roman" w:hAnsi="Times New Roman" w:cs="Times New Roman"/>
      <w:color w:val="auto"/>
      <w:lang w:eastAsia="en-NZ"/>
    </w:rPr>
  </w:style>
  <w:style w:type="character" w:customStyle="1" w:styleId="label">
    <w:name w:val="label"/>
    <w:basedOn w:val="DefaultParagraphFont"/>
    <w:rsid w:val="000E0F80"/>
  </w:style>
  <w:style w:type="character" w:customStyle="1" w:styleId="Heading2Char">
    <w:name w:val="Heading 2 Char"/>
    <w:basedOn w:val="DefaultParagraphFont"/>
    <w:link w:val="Heading2"/>
    <w:uiPriority w:val="9"/>
    <w:semiHidden/>
    <w:rsid w:val="009F1A0D"/>
    <w:rPr>
      <w:rFonts w:asciiTheme="majorHAnsi" w:eastAsiaTheme="majorEastAsia" w:hAnsiTheme="majorHAnsi" w:cstheme="majorBidi"/>
      <w:color w:val="2E74B5" w:themeColor="accent1" w:themeShade="BF"/>
      <w:sz w:val="26"/>
      <w:szCs w:val="26"/>
      <w:lang w:val="en-NZ"/>
    </w:rPr>
  </w:style>
  <w:style w:type="table" w:styleId="TableGrid">
    <w:name w:val="Table Grid"/>
    <w:basedOn w:val="TableNormal"/>
    <w:uiPriority w:val="39"/>
    <w:rsid w:val="006D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B2164"/>
    <w:pPr>
      <w:spacing w:after="120" w:line="480" w:lineRule="auto"/>
      <w:ind w:left="283"/>
    </w:pPr>
  </w:style>
  <w:style w:type="character" w:customStyle="1" w:styleId="BodyTextIndent2Char">
    <w:name w:val="Body Text Indent 2 Char"/>
    <w:basedOn w:val="DefaultParagraphFont"/>
    <w:link w:val="BodyTextIndent2"/>
    <w:uiPriority w:val="99"/>
    <w:semiHidden/>
    <w:rsid w:val="008B2164"/>
    <w:rPr>
      <w:rFonts w:ascii="Cambria" w:eastAsia="Cambria" w:hAnsi="Cambria" w:cs="Cambria"/>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2604">
      <w:bodyDiv w:val="1"/>
      <w:marLeft w:val="0"/>
      <w:marRight w:val="0"/>
      <w:marTop w:val="0"/>
      <w:marBottom w:val="0"/>
      <w:divBdr>
        <w:top w:val="none" w:sz="0" w:space="0" w:color="auto"/>
        <w:left w:val="none" w:sz="0" w:space="0" w:color="auto"/>
        <w:bottom w:val="none" w:sz="0" w:space="0" w:color="auto"/>
        <w:right w:val="none" w:sz="0" w:space="0" w:color="auto"/>
      </w:divBdr>
    </w:div>
    <w:div w:id="475535469">
      <w:bodyDiv w:val="1"/>
      <w:marLeft w:val="0"/>
      <w:marRight w:val="0"/>
      <w:marTop w:val="0"/>
      <w:marBottom w:val="0"/>
      <w:divBdr>
        <w:top w:val="none" w:sz="0" w:space="0" w:color="auto"/>
        <w:left w:val="none" w:sz="0" w:space="0" w:color="auto"/>
        <w:bottom w:val="none" w:sz="0" w:space="0" w:color="auto"/>
        <w:right w:val="none" w:sz="0" w:space="0" w:color="auto"/>
      </w:divBdr>
    </w:div>
    <w:div w:id="972095556">
      <w:bodyDiv w:val="1"/>
      <w:marLeft w:val="0"/>
      <w:marRight w:val="0"/>
      <w:marTop w:val="0"/>
      <w:marBottom w:val="0"/>
      <w:divBdr>
        <w:top w:val="none" w:sz="0" w:space="0" w:color="auto"/>
        <w:left w:val="none" w:sz="0" w:space="0" w:color="auto"/>
        <w:bottom w:val="none" w:sz="0" w:space="0" w:color="auto"/>
        <w:right w:val="none" w:sz="0" w:space="0" w:color="auto"/>
      </w:divBdr>
    </w:div>
    <w:div w:id="1277450432">
      <w:bodyDiv w:val="1"/>
      <w:marLeft w:val="0"/>
      <w:marRight w:val="0"/>
      <w:marTop w:val="0"/>
      <w:marBottom w:val="0"/>
      <w:divBdr>
        <w:top w:val="none" w:sz="0" w:space="0" w:color="auto"/>
        <w:left w:val="none" w:sz="0" w:space="0" w:color="auto"/>
        <w:bottom w:val="none" w:sz="0" w:space="0" w:color="auto"/>
        <w:right w:val="none" w:sz="0" w:space="0" w:color="auto"/>
      </w:divBdr>
      <w:divsChild>
        <w:div w:id="641008264">
          <w:marLeft w:val="0"/>
          <w:marRight w:val="0"/>
          <w:marTop w:val="0"/>
          <w:marBottom w:val="0"/>
          <w:divBdr>
            <w:top w:val="none" w:sz="0" w:space="0" w:color="auto"/>
            <w:left w:val="none" w:sz="0" w:space="0" w:color="auto"/>
            <w:bottom w:val="none" w:sz="0" w:space="0" w:color="auto"/>
            <w:right w:val="none" w:sz="0" w:space="0" w:color="auto"/>
          </w:divBdr>
        </w:div>
        <w:div w:id="364140650">
          <w:marLeft w:val="0"/>
          <w:marRight w:val="0"/>
          <w:marTop w:val="0"/>
          <w:marBottom w:val="0"/>
          <w:divBdr>
            <w:top w:val="none" w:sz="0" w:space="0" w:color="auto"/>
            <w:left w:val="none" w:sz="0" w:space="0" w:color="auto"/>
            <w:bottom w:val="none" w:sz="0" w:space="0" w:color="auto"/>
            <w:right w:val="none" w:sz="0" w:space="0" w:color="auto"/>
          </w:divBdr>
        </w:div>
        <w:div w:id="1817912945">
          <w:marLeft w:val="0"/>
          <w:marRight w:val="0"/>
          <w:marTop w:val="0"/>
          <w:marBottom w:val="0"/>
          <w:divBdr>
            <w:top w:val="none" w:sz="0" w:space="0" w:color="auto"/>
            <w:left w:val="none" w:sz="0" w:space="0" w:color="auto"/>
            <w:bottom w:val="none" w:sz="0" w:space="0" w:color="auto"/>
            <w:right w:val="none" w:sz="0" w:space="0" w:color="auto"/>
          </w:divBdr>
        </w:div>
      </w:divsChild>
    </w:div>
    <w:div w:id="1291592401">
      <w:bodyDiv w:val="1"/>
      <w:marLeft w:val="0"/>
      <w:marRight w:val="0"/>
      <w:marTop w:val="0"/>
      <w:marBottom w:val="0"/>
      <w:divBdr>
        <w:top w:val="none" w:sz="0" w:space="0" w:color="auto"/>
        <w:left w:val="none" w:sz="0" w:space="0" w:color="auto"/>
        <w:bottom w:val="none" w:sz="0" w:space="0" w:color="auto"/>
        <w:right w:val="none" w:sz="0" w:space="0" w:color="auto"/>
      </w:divBdr>
      <w:divsChild>
        <w:div w:id="662854476">
          <w:marLeft w:val="0"/>
          <w:marRight w:val="0"/>
          <w:marTop w:val="0"/>
          <w:marBottom w:val="0"/>
          <w:divBdr>
            <w:top w:val="none" w:sz="0" w:space="0" w:color="auto"/>
            <w:left w:val="none" w:sz="0" w:space="0" w:color="auto"/>
            <w:bottom w:val="none" w:sz="0" w:space="0" w:color="auto"/>
            <w:right w:val="none" w:sz="0" w:space="0" w:color="auto"/>
          </w:divBdr>
        </w:div>
        <w:div w:id="345138284">
          <w:marLeft w:val="0"/>
          <w:marRight w:val="0"/>
          <w:marTop w:val="0"/>
          <w:marBottom w:val="0"/>
          <w:divBdr>
            <w:top w:val="none" w:sz="0" w:space="0" w:color="auto"/>
            <w:left w:val="none" w:sz="0" w:space="0" w:color="auto"/>
            <w:bottom w:val="none" w:sz="0" w:space="0" w:color="auto"/>
            <w:right w:val="none" w:sz="0" w:space="0" w:color="auto"/>
          </w:divBdr>
        </w:div>
        <w:div w:id="390660415">
          <w:marLeft w:val="0"/>
          <w:marRight w:val="0"/>
          <w:marTop w:val="0"/>
          <w:marBottom w:val="0"/>
          <w:divBdr>
            <w:top w:val="none" w:sz="0" w:space="0" w:color="auto"/>
            <w:left w:val="none" w:sz="0" w:space="0" w:color="auto"/>
            <w:bottom w:val="none" w:sz="0" w:space="0" w:color="auto"/>
            <w:right w:val="none" w:sz="0" w:space="0" w:color="auto"/>
          </w:divBdr>
        </w:div>
      </w:divsChild>
    </w:div>
    <w:div w:id="1931692981">
      <w:bodyDiv w:val="1"/>
      <w:marLeft w:val="0"/>
      <w:marRight w:val="0"/>
      <w:marTop w:val="0"/>
      <w:marBottom w:val="0"/>
      <w:divBdr>
        <w:top w:val="none" w:sz="0" w:space="0" w:color="auto"/>
        <w:left w:val="none" w:sz="0" w:space="0" w:color="auto"/>
        <w:bottom w:val="none" w:sz="0" w:space="0" w:color="auto"/>
        <w:right w:val="none" w:sz="0" w:space="0" w:color="auto"/>
      </w:divBdr>
    </w:div>
    <w:div w:id="19317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c05a2e0e-5b16-4e56-b434-137536b6c2d7">2021-07-20T07:00:00+00:00</Review_x0020_Date>
    <Document_x0020_Type xmlns="c05a2e0e-5b16-4e56-b434-137536b6c2d7">Policy</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74A5998A8E04D8AB1F79120DA00EB" ma:contentTypeVersion="8" ma:contentTypeDescription="Create a new document." ma:contentTypeScope="" ma:versionID="2545e002cebc1d4cc4d285bcd4368d50">
  <xsd:schema xmlns:xsd="http://www.w3.org/2001/XMLSchema" xmlns:xs="http://www.w3.org/2001/XMLSchema" xmlns:p="http://schemas.microsoft.com/office/2006/metadata/properties" xmlns:ns2="d2f44c2a-b597-4270-85ba-c4cea7efab31" xmlns:ns3="c05a2e0e-5b16-4e56-b434-137536b6c2d7" targetNamespace="http://schemas.microsoft.com/office/2006/metadata/properties" ma:root="true" ma:fieldsID="9b2e7624cc4d1736145ab2f31dc9b6ff" ns2:_="" ns3:_="">
    <xsd:import namespace="d2f44c2a-b597-4270-85ba-c4cea7efab31"/>
    <xsd:import namespace="c05a2e0e-5b16-4e56-b434-137536b6c2d7"/>
    <xsd:element name="properties">
      <xsd:complexType>
        <xsd:sequence>
          <xsd:element name="documentManagement">
            <xsd:complexType>
              <xsd:all>
                <xsd:element ref="ns2:MediaServiceMetadata" minOccurs="0"/>
                <xsd:element ref="ns2:MediaServiceFastMetadata" minOccurs="0"/>
                <xsd:element ref="ns3:Review_x0020_Date"/>
                <xsd:element ref="ns3:Document_x0020_Typ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44c2a-b597-4270-85ba-c4cea7efa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a2e0e-5b16-4e56-b434-137536b6c2d7" elementFormDefault="qualified">
    <xsd:import namespace="http://schemas.microsoft.com/office/2006/documentManagement/types"/>
    <xsd:import namespace="http://schemas.microsoft.com/office/infopath/2007/PartnerControls"/>
    <xsd:element name="Review_x0020_Date" ma:index="10" ma:displayName="Review Date" ma:format="DateOnly" ma:internalName="Review_x0020_Date">
      <xsd:simpleType>
        <xsd:restriction base="dms:DateTime"/>
      </xsd:simpleType>
    </xsd:element>
    <xsd:element name="Document_x0020_Type" ma:index="11" nillable="true" ma:displayName="Document Type" ma:description="Document Type" ma:format="Dropdown" ma:internalName="Document_x0020_Type">
      <xsd:simpleType>
        <xsd:restriction base="dms:Choice">
          <xsd:enumeration value="Act"/>
          <xsd:enumeration value="ADM"/>
          <xsd:enumeration value="AGM"/>
          <xsd:enumeration value="Business Plan"/>
          <xsd:enumeration value="Briefing paper"/>
          <xsd:enumeration value="Consultative Intent"/>
          <xsd:enumeration value="Form"/>
          <xsd:enumeration value="Matrix"/>
          <xsd:enumeration value="Policy"/>
          <xsd:enumeration value="Regulation"/>
          <xsd:enumeration value="Remits"/>
          <xsd:enumeration value="Statement - Regulation"/>
          <xsd:enumeration value="Template"/>
          <xsd:enumeration value="Other"/>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8747-B6F7-41DD-8CA7-832FDF6246B5}">
  <ds:schemaRefs>
    <ds:schemaRef ds:uri="http://schemas.microsoft.com/office/2006/metadata/properties"/>
    <ds:schemaRef ds:uri="http://schemas.microsoft.com/office/infopath/2007/PartnerControls"/>
    <ds:schemaRef ds:uri="c05a2e0e-5b16-4e56-b434-137536b6c2d7"/>
  </ds:schemaRefs>
</ds:datastoreItem>
</file>

<file path=customXml/itemProps2.xml><?xml version="1.0" encoding="utf-8"?>
<ds:datastoreItem xmlns:ds="http://schemas.openxmlformats.org/officeDocument/2006/customXml" ds:itemID="{26205385-5606-4316-AB8C-9A3482D2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44c2a-b597-4270-85ba-c4cea7efab31"/>
    <ds:schemaRef ds:uri="c05a2e0e-5b16-4e56-b434-137536b6c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4D972-0085-4AD9-BBE5-E8D62D50236C}">
  <ds:schemaRefs>
    <ds:schemaRef ds:uri="http://schemas.microsoft.com/sharepoint/v3/contenttype/forms"/>
  </ds:schemaRefs>
</ds:datastoreItem>
</file>

<file path=customXml/itemProps4.xml><?xml version="1.0" encoding="utf-8"?>
<ds:datastoreItem xmlns:ds="http://schemas.openxmlformats.org/officeDocument/2006/customXml" ds:itemID="{9FF9B701-8EBE-4DDD-8A25-6856C371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Jeska McHugh</dc:creator>
  <cp:lastModifiedBy>Jane Meaclem</cp:lastModifiedBy>
  <cp:revision>2</cp:revision>
  <dcterms:created xsi:type="dcterms:W3CDTF">2020-11-30T00:39:00Z</dcterms:created>
  <dcterms:modified xsi:type="dcterms:W3CDTF">2020-11-30T00:39:00Z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0x010100E4274A5998A8E04D8AB1F79120DA00EB</vt:lpwstr>
  </property>
  <property fmtid="{D5CDD505-2E9C-101B-9397-08002B2CF9AE}" pid="3" name="_dlc_DocIdItemGuid">
    <vt:lpwstr>554f6ef0-be02-4466-998b-640d6cafe9d7</vt:lpwstr>
  </property>
</Properties>
</file>