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Proxy Vote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Style w:val="Heading1"/>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  Annual General Meeting of Members of the </w:t>
      </w:r>
    </w:p>
    <w:p w:rsidR="00000000" w:rsidDel="00000000" w:rsidP="00000000" w:rsidRDefault="00000000" w:rsidRPr="00000000" w14:paraId="00000004">
      <w:pPr>
        <w:pStyle w:val="Heading1"/>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Vocational Rehabilitation Association of Canada</w:t>
      </w:r>
    </w:p>
    <w:p w:rsidR="00000000" w:rsidDel="00000000" w:rsidP="00000000" w:rsidRDefault="00000000" w:rsidRPr="00000000" w14:paraId="00000005">
      <w:pPr>
        <w:pStyle w:val="Heading1"/>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(“VRA”)</w:t>
      </w:r>
    </w:p>
    <w:p w:rsidR="00000000" w:rsidDel="00000000" w:rsidP="00000000" w:rsidRDefault="00000000" w:rsidRPr="00000000" w14:paraId="00000006">
      <w:pPr>
        <w:pStyle w:val="Heading1"/>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be Held In-Person and Virtually </w:t>
      </w:r>
    </w:p>
    <w:p w:rsidR="00000000" w:rsidDel="00000000" w:rsidP="00000000" w:rsidRDefault="00000000" w:rsidRPr="00000000" w14:paraId="00000007">
      <w:pPr>
        <w:pStyle w:val="Heading1"/>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Thursday, June 2, 2022 </w:t>
      </w:r>
    </w:p>
    <w:p w:rsidR="00000000" w:rsidDel="00000000" w:rsidP="00000000" w:rsidRDefault="00000000" w:rsidRPr="00000000" w14:paraId="00000008">
      <w:pPr>
        <w:pStyle w:val="Heading1"/>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AGM”)</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Directors (the “Board”) wants your voice to be heard at this year’s AGM.  As a result, they are making it possible for all members to attend and vote at the AGM virtually or by proxy.  For those members who are unable to participate in person, the VRA Bylaws allow for voting by proxy.</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 of ensuring that all proxy voting is subsequently verifiable, the Board is prescribing this form of proxy be used at the AGM.</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Please print, sign, scan and email this proxy form by no later than 4:00 pm ET on the 23</w:t>
      </w:r>
      <w:r w:rsidDel="00000000" w:rsidR="00000000" w:rsidRPr="00000000">
        <w:rPr>
          <w:rFonts w:ascii="Calibri" w:cs="Calibri" w:eastAsia="Calibri" w:hAnsi="Calibri"/>
          <w:b w:val="1"/>
          <w:sz w:val="22"/>
          <w:szCs w:val="22"/>
          <w:vertAlign w:val="superscript"/>
          <w:rtl w:val="0"/>
        </w:rPr>
        <w:t xml:space="preserve">rd</w:t>
      </w:r>
      <w:r w:rsidDel="00000000" w:rsidR="00000000" w:rsidRPr="00000000">
        <w:rPr>
          <w:rFonts w:ascii="Calibri" w:cs="Calibri" w:eastAsia="Calibri" w:hAnsi="Calibri"/>
          <w:b w:val="1"/>
          <w:sz w:val="22"/>
          <w:szCs w:val="22"/>
          <w:rtl w:val="0"/>
        </w:rPr>
        <w:t xml:space="preserve"> day of May, 2022 to </w:t>
      </w:r>
      <w:hyperlink r:id="rId7">
        <w:r w:rsidDel="00000000" w:rsidR="00000000" w:rsidRPr="00000000">
          <w:rPr>
            <w:rFonts w:ascii="Calibri" w:cs="Calibri" w:eastAsia="Calibri" w:hAnsi="Calibri"/>
            <w:b w:val="1"/>
            <w:color w:val="1155cc"/>
            <w:sz w:val="22"/>
            <w:szCs w:val="22"/>
            <w:u w:val="single"/>
            <w:rtl w:val="0"/>
          </w:rPr>
          <w:t xml:space="preserve">info@vracanada.com</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Proxy vote forms will not be accepted after the 23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day of May 2022.  For greater certainty, proxy vote forms will not be accepted on the date of the meeting.</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Proxy Vote Form shall only be valid in respect of this AGM or at a continuation of this AGM in the event of an adjournment.</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Style w:val="Heading1"/>
        <w:spacing w:before="12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2"/>
          <w:szCs w:val="22"/>
          <w:rtl w:val="0"/>
        </w:rPr>
        <w:t xml:space="preserve">Proxy Vote Form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05500" cy="19050"/>
                <wp:effectExtent b="0" l="0" r="0" t="0"/>
                <wp:wrapNone/>
                <wp:docPr id="7" name=""/>
                <a:graphic>
                  <a:graphicData uri="http://schemas.microsoft.com/office/word/2010/wordprocessingShape">
                    <wps:wsp>
                      <wps:cNvCnPr/>
                      <wps:spPr>
                        <a:xfrm>
                          <a:off x="2393250" y="3780000"/>
                          <a:ext cx="5905500" cy="0"/>
                        </a:xfrm>
                        <a:prstGeom prst="straightConnector1">
                          <a:avLst/>
                        </a:prstGeom>
                        <a:noFill/>
                        <a:ln cap="flat" cmpd="sng" w="19050">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05500" cy="1905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05500" cy="19050"/>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UNDERSIGNED HEREBY APPOINTS</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the proxy nominee of the undersigned to attend, vote and act for and on behalf of the undersigned at this AGM, and at any adjournment of this AGM for the sole purpose of all issues that come before the AGM.</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tab/>
        <w:tab/>
        <w:tab/>
        <w:tab/>
        <w:tab/>
        <w:tab/>
        <w:tab/>
        <w:t xml:space="preserve">Signature of Member</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Member (please print)</w:t>
        <w:tab/>
        <w:tab/>
        <w:tab/>
        <w:tab/>
        <w:t xml:space="preserve">Membership Number</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re Franklin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62626"/>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-914053</wp:posOffset>
          </wp:positionH>
          <wp:positionV relativeFrom="paragraph">
            <wp:posOffset>-3721733</wp:posOffset>
          </wp:positionV>
          <wp:extent cx="7748905" cy="383667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48905" cy="38366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Heading1"/>
      <w:tabs>
        <w:tab w:val="center" w:pos="4680"/>
        <w:tab w:val="right" w:pos="9360"/>
      </w:tabs>
      <w:spacing w:before="120" w:lineRule="auto"/>
      <w:jc w:val="center"/>
      <w:rPr>
        <w:rFonts w:ascii="Libre Franklin" w:cs="Libre Franklin" w:eastAsia="Libre Franklin" w:hAnsi="Libre Franklin"/>
        <w:b w:val="0"/>
        <w:i w:val="0"/>
        <w:smallCaps w:val="0"/>
        <w:strike w:val="0"/>
        <w:color w:val="262626"/>
        <w:sz w:val="18"/>
        <w:szCs w:val="18"/>
        <w:u w:val="none"/>
        <w:shd w:fill="auto" w:val="clear"/>
        <w:vertAlign w:val="baseline"/>
      </w:rPr>
    </w:pPr>
    <w:bookmarkStart w:colFirst="0" w:colLast="0" w:name="_heading=h.jda2zv34fn75" w:id="1"/>
    <w:bookmarkEnd w:id="1"/>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-57149</wp:posOffset>
              </wp:positionV>
              <wp:extent cx="2828925" cy="1104900"/>
              <wp:effectExtent b="0" l="0" r="0" t="0"/>
              <wp:wrapNone/>
              <wp:docPr id="8" name=""/>
              <a:graphic>
                <a:graphicData uri="http://schemas.microsoft.com/office/word/2010/wordprocessingShape">
                  <wps:wsp>
                    <wps:cNvSpPr/>
                    <wps:cNvPr id="3" name="Shape 3"/>
                    <wps:spPr>
                      <a:xfrm>
                        <a:off x="2499700" y="1048900"/>
                        <a:ext cx="2813400" cy="10881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-57149</wp:posOffset>
              </wp:positionV>
              <wp:extent cx="2828925" cy="110490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28925" cy="11049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-440805</wp:posOffset>
          </wp:positionV>
          <wp:extent cx="7758430" cy="1635125"/>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758430" cy="16351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262626"/>
        <w:sz w:val="18"/>
        <w:szCs w:val="18"/>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Montserrat" w:cs="Montserrat" w:eastAsia="Montserrat" w:hAnsi="Montserrat"/>
      <w:b w:val="1"/>
      <w:color w:val="2f5496"/>
      <w:sz w:val="26"/>
      <w:szCs w:val="26"/>
    </w:rPr>
  </w:style>
  <w:style w:type="paragraph" w:styleId="Heading2">
    <w:name w:val="heading 2"/>
    <w:basedOn w:val="Normal"/>
    <w:next w:val="Normal"/>
    <w:pPr/>
    <w:rPr>
      <w:rFonts w:ascii="Libre Franklin Medium" w:cs="Libre Franklin Medium" w:eastAsia="Libre Franklin Medium" w:hAnsi="Libre Franklin Medium"/>
      <w:sz w:val="22"/>
      <w:szCs w:val="22"/>
    </w:rPr>
  </w:style>
  <w:style w:type="paragraph" w:styleId="Heading3">
    <w:name w:val="heading 3"/>
    <w:basedOn w:val="Normal"/>
    <w:next w:val="Normal"/>
    <w:pPr>
      <w:keepNext w:val="1"/>
      <w:keepLines w:val="1"/>
      <w:spacing w:before="40" w:lineRule="auto"/>
    </w:pPr>
    <w:rPr>
      <w:i w:val="1"/>
      <w:color w:val="00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Body"/>
    <w:qFormat w:val="1"/>
    <w:rsid w:val="00CB4612"/>
    <w:rPr>
      <w:rFonts w:ascii="Franklin Gothic Book" w:hAnsi="Franklin Gothic Book"/>
      <w:color w:val="262626" w:themeColor="text1" w:themeTint="0000D9"/>
      <w:sz w:val="18"/>
      <w:lang w:val="en-CA"/>
    </w:rPr>
  </w:style>
  <w:style w:type="paragraph" w:styleId="Heading1">
    <w:name w:val="heading 1"/>
    <w:aliases w:val="Section Header"/>
    <w:basedOn w:val="Normal"/>
    <w:next w:val="Normal"/>
    <w:link w:val="Heading1Char"/>
    <w:uiPriority w:val="9"/>
    <w:rsid w:val="00E0245F"/>
    <w:pPr>
      <w:keepNext w:val="1"/>
      <w:keepLines w:val="1"/>
      <w:spacing w:before="240"/>
      <w:outlineLvl w:val="0"/>
    </w:pPr>
    <w:rPr>
      <w:rFonts w:ascii="Montserrat Semi" w:hAnsi="Montserrat Semi" w:cstheme="majorBidi" w:eastAsiaTheme="majorEastAsia"/>
      <w:b w:val="1"/>
      <w:color w:val="2f5496" w:themeColor="accent1" w:themeShade="0000BF"/>
      <w:sz w:val="26"/>
      <w:szCs w:val="32"/>
    </w:rPr>
  </w:style>
  <w:style w:type="paragraph" w:styleId="Heading2">
    <w:name w:val="heading 2"/>
    <w:aliases w:val="Main Heading"/>
    <w:basedOn w:val="Normal"/>
    <w:next w:val="Normal"/>
    <w:link w:val="Heading2Char"/>
    <w:uiPriority w:val="9"/>
    <w:unhideWhenUsed w:val="1"/>
    <w:qFormat w:val="1"/>
    <w:rsid w:val="00CB4612"/>
    <w:pPr>
      <w:outlineLvl w:val="1"/>
    </w:pPr>
    <w:rPr>
      <w:rFonts w:ascii="Franklin Gothic Medium" w:hAnsi="Franklin Gothic Medium"/>
      <w:sz w:val="22"/>
    </w:rPr>
  </w:style>
  <w:style w:type="paragraph" w:styleId="Heading3">
    <w:name w:val="heading 3"/>
    <w:aliases w:val="Italics"/>
    <w:basedOn w:val="Normal"/>
    <w:next w:val="Normal"/>
    <w:link w:val="Heading3Char"/>
    <w:uiPriority w:val="9"/>
    <w:unhideWhenUsed w:val="1"/>
    <w:qFormat w:val="1"/>
    <w:rsid w:val="00CB4612"/>
    <w:pPr>
      <w:keepNext w:val="1"/>
      <w:keepLines w:val="1"/>
      <w:spacing w:before="40"/>
      <w:outlineLvl w:val="2"/>
    </w:pPr>
    <w:rPr>
      <w:rFonts w:cstheme="majorBidi" w:eastAsiaTheme="majorEastAsia"/>
      <w:i w:val="1"/>
      <w:color w:val="000000" w:themeColor="text1"/>
    </w:rPr>
  </w:style>
  <w:style w:type="paragraph" w:styleId="Heading4">
    <w:name w:val="heading 4"/>
    <w:basedOn w:val="Normal"/>
    <w:next w:val="Normal"/>
    <w:link w:val="Heading4Char"/>
    <w:uiPriority w:val="9"/>
    <w:unhideWhenUsed w:val="1"/>
    <w:rsid w:val="00CB4612"/>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rsid w:val="00CB4612"/>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Section Header Char"/>
    <w:basedOn w:val="DefaultParagraphFont"/>
    <w:link w:val="Heading1"/>
    <w:uiPriority w:val="9"/>
    <w:rsid w:val="00E0245F"/>
    <w:rPr>
      <w:rFonts w:ascii="Montserrat Semi" w:hAnsi="Montserrat Semi" w:cstheme="majorBidi" w:eastAsiaTheme="majorEastAsia"/>
      <w:b w:val="1"/>
      <w:color w:val="2f5496" w:themeColor="accent1" w:themeShade="0000BF"/>
      <w:sz w:val="26"/>
      <w:szCs w:val="32"/>
    </w:rPr>
  </w:style>
  <w:style w:type="paragraph" w:styleId="NoSpacing">
    <w:name w:val="No Spacing"/>
    <w:aliases w:val="Section Subheader"/>
    <w:uiPriority w:val="1"/>
    <w:rsid w:val="00E0245F"/>
    <w:rPr>
      <w:rFonts w:ascii="Montserrat" w:hAnsi="Montserrat"/>
      <w:color w:val="f37321"/>
      <w:sz w:val="22"/>
    </w:rPr>
  </w:style>
  <w:style w:type="paragraph" w:styleId="Header">
    <w:name w:val="header"/>
    <w:basedOn w:val="Normal"/>
    <w:link w:val="HeaderChar"/>
    <w:uiPriority w:val="99"/>
    <w:unhideWhenUsed w:val="1"/>
    <w:rsid w:val="00CB4612"/>
    <w:pPr>
      <w:tabs>
        <w:tab w:val="center" w:pos="4680"/>
        <w:tab w:val="right" w:pos="9360"/>
      </w:tabs>
    </w:pPr>
  </w:style>
  <w:style w:type="character" w:styleId="HeaderChar" w:customStyle="1">
    <w:name w:val="Header Char"/>
    <w:basedOn w:val="DefaultParagraphFont"/>
    <w:link w:val="Header"/>
    <w:uiPriority w:val="99"/>
    <w:rsid w:val="00CB4612"/>
    <w:rPr>
      <w:rFonts w:ascii="Montserrat Light" w:hAnsi="Montserrat Light"/>
      <w:color w:val="262626" w:themeColor="text1" w:themeTint="0000D9"/>
      <w:sz w:val="18"/>
    </w:rPr>
  </w:style>
  <w:style w:type="paragraph" w:styleId="Footer">
    <w:name w:val="footer"/>
    <w:basedOn w:val="Normal"/>
    <w:link w:val="FooterChar"/>
    <w:uiPriority w:val="99"/>
    <w:unhideWhenUsed w:val="1"/>
    <w:rsid w:val="00CB4612"/>
    <w:pPr>
      <w:tabs>
        <w:tab w:val="center" w:pos="4680"/>
        <w:tab w:val="right" w:pos="9360"/>
      </w:tabs>
    </w:pPr>
  </w:style>
  <w:style w:type="character" w:styleId="FooterChar" w:customStyle="1">
    <w:name w:val="Footer Char"/>
    <w:basedOn w:val="DefaultParagraphFont"/>
    <w:link w:val="Footer"/>
    <w:uiPriority w:val="99"/>
    <w:rsid w:val="00CB4612"/>
    <w:rPr>
      <w:rFonts w:ascii="Montserrat Light" w:hAnsi="Montserrat Light"/>
      <w:color w:val="262626" w:themeColor="text1" w:themeTint="0000D9"/>
      <w:sz w:val="18"/>
    </w:rPr>
  </w:style>
  <w:style w:type="character" w:styleId="Heading2Char" w:customStyle="1">
    <w:name w:val="Heading 2 Char"/>
    <w:aliases w:val="Main Heading Char"/>
    <w:basedOn w:val="DefaultParagraphFont"/>
    <w:link w:val="Heading2"/>
    <w:uiPriority w:val="9"/>
    <w:rsid w:val="00CB4612"/>
    <w:rPr>
      <w:rFonts w:ascii="Franklin Gothic Medium" w:hAnsi="Franklin Gothic Medium"/>
      <w:color w:val="262626" w:themeColor="text1" w:themeTint="0000D9"/>
      <w:sz w:val="22"/>
      <w:lang w:val="en-CA"/>
    </w:rPr>
  </w:style>
  <w:style w:type="paragraph" w:styleId="BasicParagraph" w:customStyle="1">
    <w:name w:val="[Basic Paragraph]"/>
    <w:basedOn w:val="Normal"/>
    <w:uiPriority w:val="99"/>
    <w:rsid w:val="00CB4612"/>
    <w:pPr>
      <w:suppressAutoHyphens w:val="1"/>
      <w:autoSpaceDE w:val="0"/>
      <w:autoSpaceDN w:val="0"/>
      <w:adjustRightInd w:val="0"/>
      <w:spacing w:line="288" w:lineRule="auto"/>
      <w:textAlignment w:val="center"/>
    </w:pPr>
    <w:rPr>
      <w:rFonts w:ascii="Minion Pro" w:cs="Minion Pro" w:hAnsi="Minion Pro"/>
      <w:color w:val="000000"/>
      <w:sz w:val="24"/>
      <w:lang w:val="en-US"/>
    </w:rPr>
  </w:style>
  <w:style w:type="character" w:styleId="Heading3Char" w:customStyle="1">
    <w:name w:val="Heading 3 Char"/>
    <w:aliases w:val="Italics Char"/>
    <w:basedOn w:val="DefaultParagraphFont"/>
    <w:link w:val="Heading3"/>
    <w:uiPriority w:val="9"/>
    <w:rsid w:val="00CB4612"/>
    <w:rPr>
      <w:rFonts w:ascii="Franklin Gothic Book" w:hAnsi="Franklin Gothic Book" w:cstheme="majorBidi" w:eastAsiaTheme="majorEastAsia"/>
      <w:i w:val="1"/>
      <w:color w:val="000000" w:themeColor="text1"/>
      <w:sz w:val="18"/>
      <w:lang w:val="en-CA"/>
    </w:rPr>
  </w:style>
  <w:style w:type="character" w:styleId="Heading4Char" w:customStyle="1">
    <w:name w:val="Heading 4 Char"/>
    <w:basedOn w:val="DefaultParagraphFont"/>
    <w:link w:val="Heading4"/>
    <w:uiPriority w:val="9"/>
    <w:rsid w:val="00CB4612"/>
    <w:rPr>
      <w:rFonts w:asciiTheme="majorHAnsi" w:cstheme="majorBidi" w:eastAsiaTheme="majorEastAsia" w:hAnsiTheme="majorHAnsi"/>
      <w:i w:val="1"/>
      <w:iCs w:val="1"/>
      <w:color w:val="2f5496" w:themeColor="accent1" w:themeShade="0000BF"/>
      <w:sz w:val="18"/>
      <w:lang w:val="en-CA"/>
    </w:rPr>
  </w:style>
  <w:style w:type="character" w:styleId="Heading5Char" w:customStyle="1">
    <w:name w:val="Heading 5 Char"/>
    <w:basedOn w:val="DefaultParagraphFont"/>
    <w:link w:val="Heading5"/>
    <w:uiPriority w:val="9"/>
    <w:rsid w:val="00CB4612"/>
    <w:rPr>
      <w:rFonts w:asciiTheme="majorHAnsi" w:cstheme="majorBidi" w:eastAsiaTheme="majorEastAsia" w:hAnsiTheme="majorHAnsi"/>
      <w:color w:val="2f5496" w:themeColor="accent1" w:themeShade="0000BF"/>
      <w:sz w:val="18"/>
      <w:lang w:val="en-CA"/>
    </w:rPr>
  </w:style>
  <w:style w:type="character" w:styleId="PageNumber">
    <w:name w:val="page number"/>
    <w:basedOn w:val="DefaultParagraphFont"/>
    <w:uiPriority w:val="99"/>
    <w:semiHidden w:val="1"/>
    <w:unhideWhenUsed w:val="1"/>
    <w:rsid w:val="00CB4612"/>
  </w:style>
  <w:style w:type="character" w:styleId="Hyperlink">
    <w:name w:val="Hyperlink"/>
    <w:basedOn w:val="DefaultParagraphFont"/>
    <w:uiPriority w:val="99"/>
    <w:unhideWhenUsed w:val="1"/>
    <w:rsid w:val="00B1075D"/>
    <w:rPr>
      <w:color w:val="0563c1" w:themeColor="hyperlink"/>
      <w:u w:val="single"/>
    </w:rPr>
  </w:style>
  <w:style w:type="character" w:styleId="UnresolvedMention" w:customStyle="1">
    <w:name w:val="Unresolved Mention"/>
    <w:basedOn w:val="DefaultParagraphFont"/>
    <w:uiPriority w:val="99"/>
    <w:semiHidden w:val="1"/>
    <w:unhideWhenUsed w:val="1"/>
    <w:rsid w:val="00B107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racanada.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LibreFranklinMedium-italic.ttf"/><Relationship Id="rId10" Type="http://schemas.openxmlformats.org/officeDocument/2006/relationships/font" Target="fonts/LibreFranklinMedium-bold.ttf"/><Relationship Id="rId12" Type="http://schemas.openxmlformats.org/officeDocument/2006/relationships/font" Target="fonts/LibreFranklinMedium-boldItalic.ttf"/><Relationship Id="rId9" Type="http://schemas.openxmlformats.org/officeDocument/2006/relationships/font" Target="fonts/LibreFranklin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vwy5tcegJKyVNQZzCKRUEGm3Q==">AMUW2mW+bfVqfUv82eEQdZjTb/NDcNmqXSteLFXSb92Z7qWEw+7gbGZu/nZ5Qfpdkn/AKp2BKQVZBjdYSd/p6t+Ipy8VCO54RUCj+3CxiK80aXn4iVEebbG3vc+fQqin73kf/ysWO27LCDVMfq2irN7z6TPu+VdI5w==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2021-04-21T18:14:00Z</dcterms:created>
  <dc:creator>Natalie Gilson</dc:creator>
</cp:coreProperties>
</file>