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D293" w14:textId="77777777" w:rsidR="002C6EF1" w:rsidRDefault="002C6EF1" w:rsidP="00A93892">
      <w:pPr>
        <w:pStyle w:val="Subtitle"/>
        <w:ind w:left="0"/>
        <w:rPr>
          <w:rFonts w:asciiTheme="minorHAnsi" w:hAnsiTheme="minorHAnsi"/>
          <w:color w:val="009999"/>
          <w:sz w:val="52"/>
          <w:szCs w:val="72"/>
        </w:rPr>
      </w:pPr>
    </w:p>
    <w:p w14:paraId="05F56325" w14:textId="77777777" w:rsidR="002C6EF1" w:rsidRDefault="002C6EF1" w:rsidP="00A93892">
      <w:pPr>
        <w:pStyle w:val="Subtitle"/>
        <w:ind w:left="0"/>
        <w:rPr>
          <w:rFonts w:asciiTheme="minorHAnsi" w:hAnsiTheme="minorHAnsi"/>
          <w:color w:val="009999"/>
          <w:sz w:val="52"/>
          <w:szCs w:val="72"/>
        </w:rPr>
      </w:pPr>
    </w:p>
    <w:p w14:paraId="5AD1C986" w14:textId="77777777" w:rsidR="002C6EF1" w:rsidRDefault="002C6EF1" w:rsidP="00A93892">
      <w:pPr>
        <w:pStyle w:val="Subtitle"/>
        <w:ind w:left="0"/>
        <w:rPr>
          <w:rFonts w:asciiTheme="minorHAnsi" w:hAnsiTheme="minorHAnsi"/>
          <w:color w:val="009999"/>
          <w:sz w:val="52"/>
          <w:szCs w:val="72"/>
        </w:rPr>
      </w:pPr>
    </w:p>
    <w:p w14:paraId="03BD2201" w14:textId="77777777" w:rsidR="002C6EF1" w:rsidRDefault="002C6EF1" w:rsidP="00A93892">
      <w:pPr>
        <w:pStyle w:val="Subtitle"/>
        <w:ind w:left="0"/>
        <w:rPr>
          <w:rFonts w:asciiTheme="minorHAnsi" w:hAnsiTheme="minorHAnsi"/>
          <w:color w:val="009999"/>
          <w:sz w:val="52"/>
          <w:szCs w:val="72"/>
        </w:rPr>
      </w:pPr>
    </w:p>
    <w:p w14:paraId="482E7F30" w14:textId="77777777" w:rsidR="002C6EF1" w:rsidRDefault="002C6EF1" w:rsidP="00A93892">
      <w:pPr>
        <w:pStyle w:val="Subtitle"/>
        <w:ind w:left="0"/>
        <w:rPr>
          <w:rFonts w:asciiTheme="minorHAnsi" w:hAnsiTheme="minorHAnsi"/>
          <w:color w:val="009999"/>
          <w:sz w:val="52"/>
          <w:szCs w:val="72"/>
        </w:rPr>
      </w:pPr>
    </w:p>
    <w:p w14:paraId="37A7D7DA" w14:textId="67FA7D6E" w:rsidR="002C6EF1" w:rsidRDefault="002C6EF1" w:rsidP="00A93892">
      <w:pPr>
        <w:pStyle w:val="Subtitle"/>
        <w:ind w:left="0"/>
        <w:rPr>
          <w:rFonts w:asciiTheme="minorHAnsi" w:hAnsiTheme="minorHAnsi"/>
          <w:color w:val="009999"/>
          <w:sz w:val="52"/>
          <w:szCs w:val="72"/>
        </w:rPr>
      </w:pPr>
      <w:r>
        <w:rPr>
          <w:rFonts w:asciiTheme="minorHAnsi" w:hAnsiTheme="minorHAnsi"/>
          <w:color w:val="009999"/>
          <w:sz w:val="52"/>
          <w:szCs w:val="72"/>
        </w:rPr>
        <w:t xml:space="preserve">DER Interface Standards </w:t>
      </w:r>
      <w:r w:rsidR="000928EC">
        <w:rPr>
          <w:rFonts w:asciiTheme="minorHAnsi" w:hAnsiTheme="minorHAnsi"/>
          <w:color w:val="009999"/>
          <w:sz w:val="52"/>
          <w:szCs w:val="72"/>
        </w:rPr>
        <w:t xml:space="preserve">2020 </w:t>
      </w:r>
      <w:r w:rsidR="00F763B1">
        <w:rPr>
          <w:rFonts w:asciiTheme="minorHAnsi" w:hAnsiTheme="minorHAnsi"/>
          <w:color w:val="009999"/>
          <w:sz w:val="52"/>
          <w:szCs w:val="72"/>
        </w:rPr>
        <w:t>Survey Results</w:t>
      </w:r>
      <w:r>
        <w:rPr>
          <w:rFonts w:asciiTheme="minorHAnsi" w:hAnsiTheme="minorHAnsi"/>
          <w:color w:val="009999"/>
          <w:sz w:val="52"/>
          <w:szCs w:val="72"/>
        </w:rPr>
        <w:t>:</w:t>
      </w:r>
    </w:p>
    <w:p w14:paraId="75DA3EC1" w14:textId="3A170BDD" w:rsidR="00A93892" w:rsidRPr="00A93892" w:rsidRDefault="008577BA" w:rsidP="00A93892">
      <w:pPr>
        <w:pStyle w:val="Subtitle"/>
        <w:ind w:left="0"/>
        <w:rPr>
          <w:rFonts w:asciiTheme="minorHAnsi" w:hAnsiTheme="minorHAnsi"/>
          <w:color w:val="009999"/>
          <w:sz w:val="52"/>
          <w:szCs w:val="72"/>
        </w:rPr>
      </w:pPr>
      <w:r>
        <w:rPr>
          <w:rFonts w:asciiTheme="minorHAnsi" w:hAnsiTheme="minorHAnsi"/>
          <w:color w:val="009999"/>
          <w:sz w:val="52"/>
          <w:szCs w:val="72"/>
        </w:rPr>
        <w:t>Lots of Confusion</w:t>
      </w:r>
      <w:r w:rsidR="00CA2C14">
        <w:rPr>
          <w:rFonts w:asciiTheme="minorHAnsi" w:hAnsiTheme="minorHAnsi"/>
          <w:color w:val="009999"/>
          <w:sz w:val="52"/>
          <w:szCs w:val="72"/>
        </w:rPr>
        <w:t xml:space="preserve"> and Opportunity </w:t>
      </w:r>
    </w:p>
    <w:p w14:paraId="6E209A78" w14:textId="51E2F1C4" w:rsidR="007B3F1C" w:rsidRPr="00DD0E41" w:rsidRDefault="007B3F1C" w:rsidP="00111570">
      <w:pPr>
        <w:pStyle w:val="Title"/>
        <w:spacing w:before="0" w:after="0" w:line="180" w:lineRule="auto"/>
        <w:ind w:left="0"/>
        <w:rPr>
          <w:rFonts w:asciiTheme="minorHAnsi" w:eastAsiaTheme="majorEastAsia" w:hAnsiTheme="minorHAnsi" w:cstheme="minorHAnsi"/>
          <w:caps/>
          <w:color w:val="009999"/>
          <w:sz w:val="72"/>
          <w:szCs w:val="72"/>
        </w:rPr>
      </w:pPr>
    </w:p>
    <w:p w14:paraId="2A05F2B0" w14:textId="027496DE" w:rsidR="001D6577" w:rsidRDefault="001D6577">
      <w:pPr>
        <w:rPr>
          <w:rFonts w:asciiTheme="minorHAnsi" w:hAnsiTheme="minorHAnsi" w:cstheme="minorHAnsi"/>
          <w:b/>
          <w:sz w:val="32"/>
          <w:szCs w:val="32"/>
        </w:rPr>
      </w:pPr>
    </w:p>
    <w:p w14:paraId="6EB539BE" w14:textId="0DA5B9AF" w:rsidR="00433179" w:rsidRPr="00C04EB0" w:rsidRDefault="0088530C">
      <w:pPr>
        <w:rPr>
          <w:rFonts w:asciiTheme="minorHAnsi" w:hAnsiTheme="minorHAnsi" w:cstheme="minorHAnsi"/>
          <w:sz w:val="28"/>
          <w:szCs w:val="28"/>
        </w:rPr>
      </w:pPr>
      <w:r w:rsidRPr="00C04EB0">
        <w:rPr>
          <w:rFonts w:asciiTheme="minorHAnsi" w:hAnsiTheme="minorHAnsi" w:cstheme="minorHAnsi"/>
          <w:b/>
          <w:sz w:val="28"/>
          <w:szCs w:val="28"/>
        </w:rPr>
        <w:t>DATE</w:t>
      </w:r>
      <w:r w:rsidR="00FE632F" w:rsidRPr="00C04EB0">
        <w:rPr>
          <w:rFonts w:asciiTheme="minorHAnsi" w:hAnsiTheme="minorHAnsi" w:cstheme="minorHAnsi"/>
          <w:b/>
          <w:sz w:val="28"/>
          <w:szCs w:val="28"/>
        </w:rPr>
        <w:t>:</w:t>
      </w:r>
      <w:r w:rsidR="00FE632F" w:rsidRPr="00C04EB0">
        <w:rPr>
          <w:rStyle w:val="Heading1Char"/>
          <w:rFonts w:asciiTheme="minorHAnsi" w:hAnsiTheme="minorHAnsi" w:cstheme="minorHAnsi"/>
          <w:color w:val="595959" w:themeColor="text1" w:themeTint="A6"/>
          <w:sz w:val="28"/>
          <w:szCs w:val="28"/>
        </w:rPr>
        <w:t xml:space="preserve"> </w:t>
      </w:r>
      <w:r w:rsidR="008577BA">
        <w:rPr>
          <w:rStyle w:val="Heading1Char"/>
          <w:rFonts w:asciiTheme="minorHAnsi" w:hAnsiTheme="minorHAnsi" w:cstheme="minorHAnsi"/>
          <w:color w:val="595959" w:themeColor="text1" w:themeTint="A6"/>
          <w:sz w:val="28"/>
          <w:szCs w:val="28"/>
        </w:rPr>
        <w:t>February 22, 2021</w:t>
      </w:r>
    </w:p>
    <w:p w14:paraId="3830BFCE" w14:textId="13424196" w:rsidR="0088530C" w:rsidRPr="00C04EB0" w:rsidRDefault="00C04EB0">
      <w:pPr>
        <w:rPr>
          <w:sz w:val="28"/>
          <w:szCs w:val="28"/>
        </w:rPr>
        <w:sectPr w:rsidR="0088530C" w:rsidRPr="00C04EB0" w:rsidSect="00415134">
          <w:headerReference w:type="first" r:id="rId11"/>
          <w:pgSz w:w="12240" w:h="15840" w:code="1"/>
          <w:pgMar w:top="540" w:right="1440" w:bottom="1440" w:left="1440" w:header="720" w:footer="720" w:gutter="0"/>
          <w:cols w:space="720"/>
          <w:titlePg/>
          <w:docGrid w:linePitch="360"/>
        </w:sectPr>
      </w:pPr>
      <w:bookmarkStart w:id="0" w:name="_Hlk517088369"/>
      <w:bookmarkEnd w:id="0"/>
      <w:r>
        <w:rPr>
          <w:noProof/>
          <w:sz w:val="16"/>
          <w:szCs w:val="16"/>
        </w:rPr>
        <mc:AlternateContent>
          <mc:Choice Requires="wps">
            <w:drawing>
              <wp:anchor distT="0" distB="0" distL="114300" distR="114300" simplePos="0" relativeHeight="251666432" behindDoc="0" locked="0" layoutInCell="1" allowOverlap="1" wp14:anchorId="79C0E131" wp14:editId="63EBCE82">
                <wp:simplePos x="0" y="0"/>
                <wp:positionH relativeFrom="column">
                  <wp:posOffset>-160020</wp:posOffset>
                </wp:positionH>
                <wp:positionV relativeFrom="bottomMargin">
                  <wp:align>top</wp:align>
                </wp:positionV>
                <wp:extent cx="2453640" cy="2590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2453640" cy="259080"/>
                        </a:xfrm>
                        <a:prstGeom prst="rect">
                          <a:avLst/>
                        </a:prstGeom>
                        <a:solidFill>
                          <a:schemeClr val="tx1">
                            <a:lumMod val="75000"/>
                            <a:lumOff val="25000"/>
                          </a:schemeClr>
                        </a:solidFill>
                        <a:ln w="6350">
                          <a:noFill/>
                        </a:ln>
                      </wps:spPr>
                      <wps:txbx>
                        <w:txbxContent>
                          <w:p w14:paraId="08CCC093" w14:textId="62909AC0" w:rsidR="00631EB7" w:rsidRPr="00C04EB0" w:rsidRDefault="00631EB7">
                            <w:pPr>
                              <w:rPr>
                                <w:color w:val="BFBFBF" w:themeColor="background1" w:themeShade="BF"/>
                                <w:sz w:val="20"/>
                                <w:szCs w:val="20"/>
                              </w:rPr>
                            </w:pPr>
                            <w:proofErr w:type="spellStart"/>
                            <w:r w:rsidRPr="00C04EB0">
                              <w:rPr>
                                <w:color w:val="BFBFBF" w:themeColor="background1" w:themeShade="BF"/>
                                <w:sz w:val="20"/>
                                <w:szCs w:val="20"/>
                              </w:rPr>
                              <w:t>QualityLogic</w:t>
                            </w:r>
                            <w:proofErr w:type="spellEnd"/>
                            <w:r w:rsidRPr="00C04EB0">
                              <w:rPr>
                                <w:color w:val="BFBFBF" w:themeColor="background1" w:themeShade="BF"/>
                                <w:sz w:val="20"/>
                                <w:szCs w:val="20"/>
                              </w:rPr>
                              <w:t xml:space="preserve"> Proprietary and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0E131" id="_x0000_t202" coordsize="21600,21600" o:spt="202" path="m,l,21600r21600,l21600,xe">
                <v:stroke joinstyle="miter"/>
                <v:path gradientshapeok="t" o:connecttype="rect"/>
              </v:shapetype>
              <v:shape id="Text Box 9" o:spid="_x0000_s1026" type="#_x0000_t202" style="position:absolute;margin-left:-12.6pt;margin-top:0;width:193.2pt;height:20.4pt;z-index:251666432;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OYXAIAALQEAAAOAAAAZHJzL2Uyb0RvYy54bWysVMFu2zAMvQ/YPwi6r3bSpG2COEXWosOA&#10;ri2QDj0rspwYkEVNUmJ3X78n2Wm7bqdhF4Ui6Ufx8TGLy67R7KCcr8kUfHSSc6aMpLI224J/f7z5&#10;dMGZD8KUQpNRBX9Wnl8uP35YtHauxrQjXSrHAGL8vLUF34Vg51nm5U41wp+QVQbBilwjAq5um5VO&#10;tEBvdDbO87OsJVdaR1J5D+91H+TLhF9VSob7qvIqMF1wvC2k06VzE89suRDzrRN2V8vhGeIfXtGI&#10;2qDoC9S1CILtXf0HVFNLR56qcCKpyaiqaqlSD+hmlL/rZr0TVqVeQI63LzT5/wcr7w4PjtVlwWec&#10;GdFgRI+qC+wzdWwW2WmtnyNpbZEWOrgx5aPfwxmb7irXxF+0wxAHz88v3EYwCed4Mj09myAkERtP&#10;Z/lFIj97/do6H74oalg0Cu4wu0SpONz6gJcg9ZgSi3nSdXlTa50uUS/qSjt2EJh06EbpU71vvlHZ&#10;+86neT7MG26oonePj27AJ9VFlFTstwLasLbgZ6fTPAEbipX7R2mD9EhTT0e0QrfpBu42VD6DOke9&#10;9LyVNzX6uxU+PAgHrYES7E+4x1FpQhEaLM525H7+zR/zIQFEOWuh3YL7H3vhFGf6q4E4ZqNJZDqk&#10;y2R6PsbFvY1s3kbMvrkikDbCplqZzJgf9NGsHDVPWLNVrIqQMBK1wfLRvAr9RmFNpVqtUhLkbUW4&#10;NWsrI3QcUpzeY/cknB1GHCCOOzqqXMzfTbrPjV8aWu0DVXWSQSS4Z3XgHauRBjascdy9t/eU9fpn&#10;s/wFAAD//wMAUEsDBBQABgAIAAAAIQCMjkFM3QAAAAcBAAAPAAAAZHJzL2Rvd25yZXYueG1sTI9P&#10;S8NAFMTvgt9heQUv0m4abQkxmyIFUcRLG3t/yb4mofsnZLdt9NP7POlxmGHmN8VmskZcaAy9dwqW&#10;iwQEucbr3rUKPquXeQYiRHQajXek4IsCbMrbmwJz7a9uR5d9bAWXuJCjgi7GIZcyNB1ZDAs/kGPv&#10;6EeLkeXYSj3ilcutkWmSrKXF3vFChwNtO2pO+7NVUB/ev99W28O9kbv+ta0wq4/Vh1J3s+n5CUSk&#10;Kf6F4Ref0aFkptqfnQ7CKJinq5SjCvgR2w/rJctawWOSgSwL+Z+//AEAAP//AwBQSwECLQAUAAYA&#10;CAAAACEAtoM4kv4AAADhAQAAEwAAAAAAAAAAAAAAAAAAAAAAW0NvbnRlbnRfVHlwZXNdLnhtbFBL&#10;AQItABQABgAIAAAAIQA4/SH/1gAAAJQBAAALAAAAAAAAAAAAAAAAAC8BAABfcmVscy8ucmVsc1BL&#10;AQItABQABgAIAAAAIQB9pmOYXAIAALQEAAAOAAAAAAAAAAAAAAAAAC4CAABkcnMvZTJvRG9jLnht&#10;bFBLAQItABQABgAIAAAAIQCMjkFM3QAAAAcBAAAPAAAAAAAAAAAAAAAAALYEAABkcnMvZG93bnJl&#10;di54bWxQSwUGAAAAAAQABADzAAAAwAUAAAAA&#10;" fillcolor="#404040 [2429]" stroked="f" strokeweight=".5pt">
                <v:textbox>
                  <w:txbxContent>
                    <w:p w14:paraId="08CCC093" w14:textId="62909AC0" w:rsidR="00631EB7" w:rsidRPr="00C04EB0" w:rsidRDefault="00631EB7">
                      <w:pPr>
                        <w:rPr>
                          <w:color w:val="BFBFBF" w:themeColor="background1" w:themeShade="BF"/>
                          <w:sz w:val="20"/>
                          <w:szCs w:val="20"/>
                        </w:rPr>
                      </w:pPr>
                      <w:proofErr w:type="spellStart"/>
                      <w:r w:rsidRPr="00C04EB0">
                        <w:rPr>
                          <w:color w:val="BFBFBF" w:themeColor="background1" w:themeShade="BF"/>
                          <w:sz w:val="20"/>
                          <w:szCs w:val="20"/>
                        </w:rPr>
                        <w:t>QualityLogic</w:t>
                      </w:r>
                      <w:proofErr w:type="spellEnd"/>
                      <w:r w:rsidRPr="00C04EB0">
                        <w:rPr>
                          <w:color w:val="BFBFBF" w:themeColor="background1" w:themeShade="BF"/>
                          <w:sz w:val="20"/>
                          <w:szCs w:val="20"/>
                        </w:rPr>
                        <w:t xml:space="preserve"> Proprietary and Confidential</w:t>
                      </w:r>
                    </w:p>
                  </w:txbxContent>
                </v:textbox>
                <w10:wrap anchory="margin"/>
              </v:shape>
            </w:pict>
          </mc:Fallback>
        </mc:AlternateContent>
      </w:r>
      <w:r w:rsidR="001D6577" w:rsidRPr="00C04EB0">
        <w:rPr>
          <w:b/>
          <w:sz w:val="28"/>
          <w:szCs w:val="28"/>
        </w:rPr>
        <w:t xml:space="preserve">REVISION NUMBER: </w:t>
      </w:r>
      <w:r w:rsidR="00CF2A29">
        <w:rPr>
          <w:noProof/>
          <w:sz w:val="16"/>
          <w:szCs w:val="16"/>
        </w:rPr>
        <mc:AlternateContent>
          <mc:Choice Requires="wps">
            <w:drawing>
              <wp:anchor distT="0" distB="0" distL="114300" distR="114300" simplePos="0" relativeHeight="251665408" behindDoc="0" locked="0" layoutInCell="1" allowOverlap="1" wp14:anchorId="2FD44165" wp14:editId="5313A532">
                <wp:simplePos x="0" y="0"/>
                <wp:positionH relativeFrom="page">
                  <wp:posOffset>0</wp:posOffset>
                </wp:positionH>
                <wp:positionV relativeFrom="page">
                  <wp:posOffset>3634740</wp:posOffset>
                </wp:positionV>
                <wp:extent cx="472440" cy="2849880"/>
                <wp:effectExtent l="0" t="0" r="3810" b="762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2440" cy="2849880"/>
                        </a:xfrm>
                        <a:prstGeom prst="rect">
                          <a:avLst/>
                        </a:prstGeom>
                        <a:solidFill>
                          <a:srgbClr val="00B8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517A4" id="Rectangle 8" o:spid="_x0000_s1026" alt="&quot;&quot;" style="position:absolute;margin-left:0;margin-top:286.2pt;width:37.2pt;height:22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U9lwIAAIUFAAAOAAAAZHJzL2Uyb0RvYy54bWysVE1v2zAMvQ/YfxB0X+0E6ZoGdYosRYcB&#10;RVu0HXpWZCk2IIsapcTJfv0o+aNdV+wwLAdFMh8fySeKF5eHxrC9Ql+DLfjkJOdMWQllbbcF//50&#10;/WnOmQ/ClsKAVQU/Ks8vlx8/XLRuoaZQgSkVMiKxftG6glchuEWWeVmpRvgTcMqSUQM2ItARt1mJ&#10;oiX2xmTTPP+ctYClQ5DKe/p61Rn5MvFrrWS409qrwEzBKbeQVkzrJq7Z8kIstihcVcs+DfEPWTSi&#10;thR0pLoSQbAd1n9QNbVE8KDDiYQmA61rqVINVM0kf1PNYyWcSrWQON6NMvn/Rytv9/fI6rLgdFFW&#10;NHRFDySasFuj2DzK0zq/INSju8f+5Gkbaz1obOI/VcEOSdLjKKk6BCbp4+xsOpuR8JJM0/nsfD5P&#10;mmcv3g59+KqgYXFTcKToSUmxv/GBIhJ0gMRgHkxdXtfGpANuN2uDbC/i9eZf5qt1TJlcfoMZG8EW&#10;oltnjl+yWFlXS9qFo1ERZ+yD0iQJZT9NmaRmVGMcIaWyYdKZKlGqLvxpTr8hemzf6JFySYSRWVP8&#10;kbsnGJAdycDdZdnjo6tKvTw6539LrHMePVJksGF0bmoL+B6Boar6yB1+EKmTJqq0gfJIDYPQvSTv&#10;5HVN93YjfLgXSE+H7prGQbijRRtoCw79jrMK8Od73yOeOpqsnLX0FAvuf+wEKs7MN0u9fj5JLRTS&#10;YXZ6NqUY+NqyeW2xu2YN1A4TGjxOpm3EBzNsNULzTFNjFaOSSVhJsQsuAw6HdehGBM0dqVarBKP3&#10;6kS4sY9ORvKoauzLp8OzQNc3b6C2v4Xh2YrFmx7usNHTwmoXQNepwV907fWmt54ap59LcZi8PifU&#10;y/Rc/gIAAP//AwBQSwMEFAAGAAgAAAAhALT9hJreAAAACAEAAA8AAABkcnMvZG93bnJldi54bWxM&#10;j0FLw0AQhe+C/2EZwZvdJLY2pNkUqeipUmyFXqfJmASzsyG7baK/3vGkp+HxHm++l68n26kLDb51&#10;bCCeRaCIS1e1XBt4PzzfpaB8QK6wc0wGvsjDuri+yjGr3MhvdNmHWkkJ+wwNNCH0mda+bMiin7me&#10;WLwPN1gMIodaVwOOUm47nUTRg7bYsnxosKdNQ+Xn/mwNhHR3fInvX+3macLRLr6324NNjbm9mR5X&#10;oAJN4S8Mv/iCDoUwndyZK686AzIkGFgskzkosZdzuSeJRUmcgC5y/X9A8QMAAP//AwBQSwECLQAU&#10;AAYACAAAACEAtoM4kv4AAADhAQAAEwAAAAAAAAAAAAAAAAAAAAAAW0NvbnRlbnRfVHlwZXNdLnht&#10;bFBLAQItABQABgAIAAAAIQA4/SH/1gAAAJQBAAALAAAAAAAAAAAAAAAAAC8BAABfcmVscy8ucmVs&#10;c1BLAQItABQABgAIAAAAIQCUmvU9lwIAAIUFAAAOAAAAAAAAAAAAAAAAAC4CAABkcnMvZTJvRG9j&#10;LnhtbFBLAQItABQABgAIAAAAIQC0/YSa3gAAAAgBAAAPAAAAAAAAAAAAAAAAAPEEAABkcnMvZG93&#10;bnJldi54bWxQSwUGAAAAAAQABADzAAAA/AUAAAAA&#10;" fillcolor="#00b8ac" stroked="f" strokeweight="1pt">
                <w10:wrap anchorx="page" anchory="page"/>
              </v:rect>
            </w:pict>
          </mc:Fallback>
        </mc:AlternateContent>
      </w:r>
      <w:r w:rsidR="00CF2A29">
        <w:rPr>
          <w:noProof/>
          <w:sz w:val="16"/>
          <w:szCs w:val="16"/>
        </w:rPr>
        <mc:AlternateContent>
          <mc:Choice Requires="wps">
            <w:drawing>
              <wp:anchor distT="0" distB="0" distL="114300" distR="114300" simplePos="0" relativeHeight="251659264" behindDoc="1" locked="0" layoutInCell="1" allowOverlap="1" wp14:anchorId="0F07C417" wp14:editId="33B54D0D">
                <wp:simplePos x="0" y="0"/>
                <wp:positionH relativeFrom="column">
                  <wp:posOffset>-906780</wp:posOffset>
                </wp:positionH>
                <wp:positionV relativeFrom="page">
                  <wp:posOffset>7094220</wp:posOffset>
                </wp:positionV>
                <wp:extent cx="7764780" cy="2956560"/>
                <wp:effectExtent l="0" t="0" r="2667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4780" cy="2956560"/>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FDC11" id="Rectangle 1" o:spid="_x0000_s1026" alt="&quot;&quot;" style="position:absolute;margin-left:-71.4pt;margin-top:558.6pt;width:611.4pt;height:232.8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DYoAIAAKgFAAAOAAAAZHJzL2Uyb0RvYy54bWysVEtv2zAMvg/YfxB0X+0EebRBnCJI0WFA&#10;1xZth55VWYoNSKImKXGyXz9KfjTtih2GXWyKj4/iJ5LLy4NWZC+cr8EUdHSWUyIMh7I224L+eLr+&#10;ck6JD8yUTIERBT0KTy9Xnz8tG7sQY6hAlcIRBDF+0diCViHYRZZ5XgnN/BlYYdAowWkW8Oi2WelY&#10;g+haZeM8n2UNuNI64MJ71F61RrpK+FIKHu6k9CIQVVC8W0hfl74v8ZutlmyxdcxWNe+uwf7hFprV&#10;BpMOUFcsMLJz9R9QuuYOPMhwxkFnIGXNRaoBqxnl76p5rJgVqRYkx9uBJv//YPnt/t6RusS3o8Qw&#10;jU/0gKQxs1WCjCI9jfUL9Hq09647eRRjrQfpdPxjFeSQKD0OlIpDIByV8/lsMj9H5jnaxhfT2XSW&#10;SM9ew63z4asATaJQUIfpE5Vsf+MDpkTX3iVm86Dq8rpWKh1in4iNcmTP8IXDYZRC1U5/h7LVzad5&#10;3r0zqrEbWvW4VyN86raIkpKdJMhi8W25SQpHJWJaZR6ERNawwHFKOCC04IxzYUJ7F1+xUrTqmLKv&#10;fohIORNgRJZY2IDdAbytscdumen8Y6hI7T4E53+7WBs8RKTMYMIQrGsD7iMAhVV1mVt/vP4JNVF8&#10;gfKIPeWgHTZv+XWNL3vDfLhnDqcLuwE3RrjDj1TQFBQ6iZIK3K+P9NEfmx6tlDQ4rQX1P3fMCUrU&#10;N4PjcDGaTOJ4p8NkOh/jwZ1aXk4tZqc3gO2CLY+3S2L0D6oXpQP9jItlHbOiiRmOuQvKg+sPm9Bu&#10;EVxNXKzXyQ1H2rJwYx4tj+CR1di5T4dn5mzX3gEn4xb6yWaLd13e+sZIA+tdAFmnEXjlteMb10Fq&#10;nG51xX1zek5erwt29RsAAP//AwBQSwMEFAAGAAgAAAAhAInPgv7kAAAADwEAAA8AAABkcnMvZG93&#10;bnJldi54bWxMj81OwzAQhO9IvIO1SFxQaycKNErjVIgfUQkh1JbendjEEfE6xG4b3p7tCW47mtHs&#10;N+Vqcj07mjF0HiUkcwHMYON1h62Ej93zLAcWokKteo9Gwo8JsKouL0pVaH/CjTluY8uoBEOhJNgY&#10;h4Lz0FjjVJj7wSB5n350KpIcW65HdaJy1/NUiDvuVIf0warBPFjTfG0PTsK6dv4me3rR73b/nW0e&#10;3xa7fP0q5fXVdL8EFs0U/8Jwxid0qIip9gfUgfUSZkmWEnskJ0kWKbBzRuSCBtZ03ebk8qrk/3dU&#10;vwAAAP//AwBQSwECLQAUAAYACAAAACEAtoM4kv4AAADhAQAAEwAAAAAAAAAAAAAAAAAAAAAAW0Nv&#10;bnRlbnRfVHlwZXNdLnhtbFBLAQItABQABgAIAAAAIQA4/SH/1gAAAJQBAAALAAAAAAAAAAAAAAAA&#10;AC8BAABfcmVscy8ucmVsc1BLAQItABQABgAIAAAAIQAS6DDYoAIAAKgFAAAOAAAAAAAAAAAAAAAA&#10;AC4CAABkcnMvZTJvRG9jLnhtbFBLAQItABQABgAIAAAAIQCJz4L+5AAAAA8BAAAPAAAAAAAAAAAA&#10;AAAAAPoEAABkcnMvZG93bnJldi54bWxQSwUGAAAAAAQABADzAAAACwYAAAAA&#10;" fillcolor="#404040 [2429]" strokecolor="#1f4d78 [1604]" strokeweight="1pt">
                <w10:wrap anchory="page"/>
              </v:rect>
            </w:pict>
          </mc:Fallback>
        </mc:AlternateContent>
      </w:r>
      <w:r w:rsidR="006F74DE">
        <w:rPr>
          <w:noProof/>
          <w:sz w:val="16"/>
          <w:szCs w:val="16"/>
        </w:rPr>
        <mc:AlternateContent>
          <mc:Choice Requires="wps">
            <w:drawing>
              <wp:anchor distT="0" distB="0" distL="114300" distR="114300" simplePos="0" relativeHeight="251664384" behindDoc="0" locked="0" layoutInCell="1" allowOverlap="1" wp14:anchorId="1337E423" wp14:editId="24A9E63A">
                <wp:simplePos x="0" y="0"/>
                <wp:positionH relativeFrom="margin">
                  <wp:posOffset>4160520</wp:posOffset>
                </wp:positionH>
                <wp:positionV relativeFrom="page">
                  <wp:posOffset>7909560</wp:posOffset>
                </wp:positionV>
                <wp:extent cx="2011680" cy="12268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11680" cy="1226820"/>
                        </a:xfrm>
                        <a:prstGeom prst="rect">
                          <a:avLst/>
                        </a:prstGeom>
                        <a:noFill/>
                        <a:ln w="6350">
                          <a:noFill/>
                        </a:ln>
                      </wps:spPr>
                      <wps:txbx>
                        <w:txbxContent>
                          <w:p w14:paraId="23ADA7E7" w14:textId="4FFE040B" w:rsidR="00631EB7" w:rsidRPr="006F74DE" w:rsidRDefault="00631EB7" w:rsidP="00CF2A29">
                            <w:pPr>
                              <w:spacing w:line="240" w:lineRule="auto"/>
                              <w:rPr>
                                <w:b/>
                                <w:color w:val="FFFFFF" w:themeColor="background1"/>
                              </w:rPr>
                            </w:pPr>
                            <w:proofErr w:type="spellStart"/>
                            <w:r w:rsidRPr="006F74DE">
                              <w:rPr>
                                <w:b/>
                                <w:color w:val="FFFFFF" w:themeColor="background1"/>
                              </w:rPr>
                              <w:t>QualityLogic</w:t>
                            </w:r>
                            <w:proofErr w:type="spellEnd"/>
                            <w:r w:rsidRPr="006F74DE">
                              <w:rPr>
                                <w:b/>
                                <w:color w:val="FFFFFF" w:themeColor="background1"/>
                              </w:rPr>
                              <w:t>: Oklahoma</w:t>
                            </w:r>
                          </w:p>
                          <w:p w14:paraId="5DBDB0F8" w14:textId="32F0A821" w:rsidR="00631EB7" w:rsidRPr="00CF2A29" w:rsidRDefault="00631EB7" w:rsidP="00CF2A29">
                            <w:pPr>
                              <w:rPr>
                                <w:color w:val="FFFFFF" w:themeColor="background1"/>
                              </w:rPr>
                            </w:pPr>
                            <w:r w:rsidRPr="00CF2A29">
                              <w:rPr>
                                <w:color w:val="FFFFFF" w:themeColor="background1"/>
                              </w:rPr>
                              <w:t>4045 NW 64th Street</w:t>
                            </w:r>
                            <w:r>
                              <w:rPr>
                                <w:color w:val="FFFFFF" w:themeColor="background1"/>
                              </w:rPr>
                              <w:t xml:space="preserve">,    </w:t>
                            </w:r>
                            <w:r w:rsidRPr="00CF2A29">
                              <w:rPr>
                                <w:color w:val="FFFFFF" w:themeColor="background1"/>
                              </w:rPr>
                              <w:t xml:space="preserve"> </w:t>
                            </w:r>
                            <w:r>
                              <w:rPr>
                                <w:color w:val="FFFFFF" w:themeColor="background1"/>
                              </w:rPr>
                              <w:t xml:space="preserve">      </w:t>
                            </w:r>
                            <w:r w:rsidRPr="00CF2A29">
                              <w:rPr>
                                <w:color w:val="FFFFFF" w:themeColor="background1"/>
                              </w:rPr>
                              <w:t xml:space="preserve">Suite 120  </w:t>
                            </w:r>
                            <w:r>
                              <w:rPr>
                                <w:color w:val="FFFFFF" w:themeColor="background1"/>
                              </w:rPr>
                              <w:t xml:space="preserve">                          </w:t>
                            </w:r>
                            <w:r w:rsidRPr="00CF2A29">
                              <w:rPr>
                                <w:color w:val="FFFFFF" w:themeColor="background1"/>
                              </w:rPr>
                              <w:t>Oklahoma City, OK 73116</w:t>
                            </w:r>
                          </w:p>
                          <w:p w14:paraId="52BEB74F" w14:textId="6B48AA64" w:rsidR="00631EB7" w:rsidRPr="00CF2A29" w:rsidRDefault="00631EB7" w:rsidP="00CF2A29">
                            <w:pPr>
                              <w:spacing w:after="0" w:line="240" w:lineRule="auto"/>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7E423" id="Text Box 6" o:spid="_x0000_s1027" type="#_x0000_t202" style="position:absolute;margin-left:327.6pt;margin-top:622.8pt;width:158.4pt;height:96.6pt;z-index:25166438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1YLwIAAFkEAAAOAAAAZHJzL2Uyb0RvYy54bWysVFFv2jAQfp+0/2D5fYQwyigiVKwV06Sq&#10;rQRTn43jkEiJz7MNCfv1++wARd2epr0457vz+b7vO2d+1zU1OyjrKtIZTwdDzpSWlFd6l/Efm9Wn&#10;KWfOC52LmrTK+FE5frf4+GHempkaUUl1rixDEe1mrcl46b2ZJYmTpWqEG5BRGsGCbCM8tnaX5Fa0&#10;qN7UyWg4nCQt2dxYkso5eB/6IF/E+kWhpH8uCqc8qzOO3nxcbVy3YU0WczHbWWHKSp7aEP/QRSMq&#10;jUsvpR6EF2xvqz9KNZW05KjwA0lNQkVRSRUxAE06fIdmXQqjIhaQ48yFJvf/ysqnw4tlVZ7xCWda&#10;NJBoozrPvlLHJoGd1rgZktYGab6DGyqf/Q7OALorbBO+gMMQB8/HC7ehmIQT8NLJFCGJWDoaTaaj&#10;yH7ydtxY578palgwMm4hXuRUHB6dRytIPaeE2zStqrqOAtaatUDw+WYYD1wiOFFrHAwg+maD5btt&#10;FyFfgGwpPwKfpX4+nJGrCj08CudfhMVAoG8MuX/GUtSEu+hkcVaS/fU3f8iHTohy1mLAMu5+7oVV&#10;nNXfNRS8TcfjMJFxM775AjqYvY5sryN639wTZjjFczIymiHf12ezsNS84i0sw60ICS1xd8b92bz3&#10;/djjLUm1XMYkzKAR/lGvjQylA6uB4U33Kqw5yeCh4BOdR1HM3qnR5/Z6LPeeiipKFXjuWT3Rj/mN&#10;Cp7eWngg1/uY9fZHWPwGAAD//wMAUEsDBBQABgAIAAAAIQB/QFC74wAAAA0BAAAPAAAAZHJzL2Rv&#10;d25yZXYueG1sTI/NTsMwEITvSLyDtUjcqINpQghxqipShYTg0NILt03sJhH+CbHbBp6e5QTHnfk0&#10;O1OuZmvYSU9h8E7C7SIBpl3r1eA6Cfu3zU0OLER0Co13WsKXDrCqLi9KLJQ/u60+7WLHKMSFAiX0&#10;MY4F56HttcWw8KN25B38ZDHSOXVcTXimcGu4SJKMWxwcfehx1HWv24/d0Up4rjevuG2Ezb9N/fRy&#10;WI+f+/dUyuuref0ILOo5/sHwW5+qQ0WdGn90KjAjIUtTQSgZYplmwAh5uBc0ryFpeZfnwKuS/19R&#10;/QAAAP//AwBQSwECLQAUAAYACAAAACEAtoM4kv4AAADhAQAAEwAAAAAAAAAAAAAAAAAAAAAAW0Nv&#10;bnRlbnRfVHlwZXNdLnhtbFBLAQItABQABgAIAAAAIQA4/SH/1gAAAJQBAAALAAAAAAAAAAAAAAAA&#10;AC8BAABfcmVscy8ucmVsc1BLAQItABQABgAIAAAAIQDYkt1YLwIAAFkEAAAOAAAAAAAAAAAAAAAA&#10;AC4CAABkcnMvZTJvRG9jLnhtbFBLAQItABQABgAIAAAAIQB/QFC74wAAAA0BAAAPAAAAAAAAAAAA&#10;AAAAAIkEAABkcnMvZG93bnJldi54bWxQSwUGAAAAAAQABADzAAAAmQUAAAAA&#10;" filled="f" stroked="f" strokeweight=".5pt">
                <v:textbox>
                  <w:txbxContent>
                    <w:p w14:paraId="23ADA7E7" w14:textId="4FFE040B" w:rsidR="00631EB7" w:rsidRPr="006F74DE" w:rsidRDefault="00631EB7" w:rsidP="00CF2A29">
                      <w:pPr>
                        <w:spacing w:line="240" w:lineRule="auto"/>
                        <w:rPr>
                          <w:b/>
                          <w:color w:val="FFFFFF" w:themeColor="background1"/>
                        </w:rPr>
                      </w:pPr>
                      <w:proofErr w:type="spellStart"/>
                      <w:r w:rsidRPr="006F74DE">
                        <w:rPr>
                          <w:b/>
                          <w:color w:val="FFFFFF" w:themeColor="background1"/>
                        </w:rPr>
                        <w:t>QualityLogic</w:t>
                      </w:r>
                      <w:proofErr w:type="spellEnd"/>
                      <w:r w:rsidRPr="006F74DE">
                        <w:rPr>
                          <w:b/>
                          <w:color w:val="FFFFFF" w:themeColor="background1"/>
                        </w:rPr>
                        <w:t>: Oklahoma</w:t>
                      </w:r>
                    </w:p>
                    <w:p w14:paraId="5DBDB0F8" w14:textId="32F0A821" w:rsidR="00631EB7" w:rsidRPr="00CF2A29" w:rsidRDefault="00631EB7" w:rsidP="00CF2A29">
                      <w:pPr>
                        <w:rPr>
                          <w:color w:val="FFFFFF" w:themeColor="background1"/>
                        </w:rPr>
                      </w:pPr>
                      <w:r w:rsidRPr="00CF2A29">
                        <w:rPr>
                          <w:color w:val="FFFFFF" w:themeColor="background1"/>
                        </w:rPr>
                        <w:t>4045 NW 64th Street</w:t>
                      </w:r>
                      <w:r>
                        <w:rPr>
                          <w:color w:val="FFFFFF" w:themeColor="background1"/>
                        </w:rPr>
                        <w:t xml:space="preserve">,    </w:t>
                      </w:r>
                      <w:r w:rsidRPr="00CF2A29">
                        <w:rPr>
                          <w:color w:val="FFFFFF" w:themeColor="background1"/>
                        </w:rPr>
                        <w:t xml:space="preserve"> </w:t>
                      </w:r>
                      <w:r>
                        <w:rPr>
                          <w:color w:val="FFFFFF" w:themeColor="background1"/>
                        </w:rPr>
                        <w:t xml:space="preserve">      </w:t>
                      </w:r>
                      <w:r w:rsidRPr="00CF2A29">
                        <w:rPr>
                          <w:color w:val="FFFFFF" w:themeColor="background1"/>
                        </w:rPr>
                        <w:t xml:space="preserve">Suite 120  </w:t>
                      </w:r>
                      <w:r>
                        <w:rPr>
                          <w:color w:val="FFFFFF" w:themeColor="background1"/>
                        </w:rPr>
                        <w:t xml:space="preserve">                          </w:t>
                      </w:r>
                      <w:r w:rsidRPr="00CF2A29">
                        <w:rPr>
                          <w:color w:val="FFFFFF" w:themeColor="background1"/>
                        </w:rPr>
                        <w:t>Oklahoma City, OK 73116</w:t>
                      </w:r>
                    </w:p>
                    <w:p w14:paraId="52BEB74F" w14:textId="6B48AA64" w:rsidR="00631EB7" w:rsidRPr="00CF2A29" w:rsidRDefault="00631EB7" w:rsidP="00CF2A29">
                      <w:pPr>
                        <w:spacing w:after="0" w:line="240" w:lineRule="auto"/>
                        <w:rPr>
                          <w:color w:val="FFFFFF" w:themeColor="background1"/>
                        </w:rPr>
                      </w:pPr>
                    </w:p>
                  </w:txbxContent>
                </v:textbox>
                <w10:wrap anchorx="margin" anchory="page"/>
              </v:shape>
            </w:pict>
          </mc:Fallback>
        </mc:AlternateContent>
      </w:r>
      <w:r w:rsidR="006F74DE">
        <w:rPr>
          <w:noProof/>
          <w:sz w:val="16"/>
          <w:szCs w:val="16"/>
        </w:rPr>
        <mc:AlternateContent>
          <mc:Choice Requires="wps">
            <w:drawing>
              <wp:anchor distT="0" distB="0" distL="114300" distR="114300" simplePos="0" relativeHeight="251662336" behindDoc="0" locked="0" layoutInCell="1" allowOverlap="1" wp14:anchorId="387C2B06" wp14:editId="4F4C1FE8">
                <wp:simplePos x="0" y="0"/>
                <wp:positionH relativeFrom="margin">
                  <wp:posOffset>1965960</wp:posOffset>
                </wp:positionH>
                <wp:positionV relativeFrom="page">
                  <wp:posOffset>7909560</wp:posOffset>
                </wp:positionV>
                <wp:extent cx="2011680" cy="1226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11680" cy="1226820"/>
                        </a:xfrm>
                        <a:prstGeom prst="rect">
                          <a:avLst/>
                        </a:prstGeom>
                        <a:noFill/>
                        <a:ln w="6350">
                          <a:noFill/>
                        </a:ln>
                      </wps:spPr>
                      <wps:txbx>
                        <w:txbxContent>
                          <w:p w14:paraId="3D915A63" w14:textId="5FDAA799" w:rsidR="00631EB7" w:rsidRPr="006F74DE" w:rsidRDefault="00631EB7" w:rsidP="00CF2A29">
                            <w:pPr>
                              <w:spacing w:line="240" w:lineRule="auto"/>
                              <w:rPr>
                                <w:b/>
                                <w:color w:val="FFFFFF" w:themeColor="background1"/>
                              </w:rPr>
                            </w:pPr>
                            <w:proofErr w:type="spellStart"/>
                            <w:r w:rsidRPr="006F74DE">
                              <w:rPr>
                                <w:b/>
                                <w:color w:val="FFFFFF" w:themeColor="background1"/>
                              </w:rPr>
                              <w:t>QualityLogic</w:t>
                            </w:r>
                            <w:proofErr w:type="spellEnd"/>
                            <w:r w:rsidRPr="006F74DE">
                              <w:rPr>
                                <w:b/>
                                <w:color w:val="FFFFFF" w:themeColor="background1"/>
                              </w:rPr>
                              <w:t>: California</w:t>
                            </w:r>
                          </w:p>
                          <w:p w14:paraId="7EC6AC8C" w14:textId="383C7205" w:rsidR="00631EB7" w:rsidRPr="00CF2A29" w:rsidRDefault="00631EB7" w:rsidP="00CF2A29">
                            <w:pPr>
                              <w:rPr>
                                <w:color w:val="FFFFFF" w:themeColor="background1"/>
                              </w:rPr>
                            </w:pPr>
                            <w:r w:rsidRPr="00CF2A29">
                              <w:rPr>
                                <w:color w:val="FFFFFF" w:themeColor="background1"/>
                              </w:rPr>
                              <w:t xml:space="preserve">2245 First Street, </w:t>
                            </w:r>
                            <w:r>
                              <w:rPr>
                                <w:color w:val="FFFFFF" w:themeColor="background1"/>
                              </w:rPr>
                              <w:t xml:space="preserve">                 </w:t>
                            </w:r>
                            <w:r w:rsidRPr="00CF2A29">
                              <w:rPr>
                                <w:color w:val="FFFFFF" w:themeColor="background1"/>
                              </w:rPr>
                              <w:t xml:space="preserve">Suite 103 </w:t>
                            </w:r>
                            <w:r>
                              <w:rPr>
                                <w:color w:val="FFFFFF" w:themeColor="background1"/>
                              </w:rPr>
                              <w:t xml:space="preserve">                                 </w:t>
                            </w:r>
                            <w:r w:rsidRPr="00CF2A29">
                              <w:rPr>
                                <w:color w:val="FFFFFF" w:themeColor="background1"/>
                              </w:rPr>
                              <w:t xml:space="preserve">Simi Valley, CA 93065 </w:t>
                            </w:r>
                          </w:p>
                          <w:p w14:paraId="5E9A786D" w14:textId="123B0F4D" w:rsidR="00631EB7" w:rsidRPr="00CF2A29" w:rsidRDefault="00631EB7" w:rsidP="00CF2A29">
                            <w:pPr>
                              <w:spacing w:after="0" w:line="240" w:lineRule="auto"/>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C2B06" id="Text Box 4" o:spid="_x0000_s1028" type="#_x0000_t202" style="position:absolute;margin-left:154.8pt;margin-top:622.8pt;width:158.4pt;height:96.6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dMQIAAFkEAAAOAAAAZHJzL2Uyb0RvYy54bWysVFFv2yAQfp+0/4B4Xxx7aZZacaqsVaZJ&#10;VVspmfpMMMSWgGNAYme/fgdO0qjb07QXfNwdx33fd3h+12tFDsL5FkxF89GYEmE41K3ZVfTHZvVp&#10;RokPzNRMgREVPQpP7xYfP8w7W4oCGlC1cASLGF92tqJNCLbMMs8boZkfgRUGgxKcZgG3bpfVjnVY&#10;XausGI+nWQeutg648B69D0OQLlJ9KQUPz1J6EYiqKPYW0urSuo1rtpizcueYbVp+aoP9QxeatQYv&#10;vZR6YIGRvWv/KKVb7sCDDCMOOgMpWy4SBkSTj9+hWTfMioQFyfH2QpP/f2X50+HFkbau6IQSwzRK&#10;tBF9IF+hJ5PITmd9iUlri2mhRzeqfPZ7dEbQvXQ6fhEOwTjyfLxwG4txdCK8fDrDEMdYXhTTWZHY&#10;z96OW+fDNwGaRKOiDsVLnLLDow/YCqaeU+JtBlatUklAZUhX0ennm3E6cIngCWXwYAQxNBut0G/7&#10;BLk4A9lCfUR8Dob58JavWuzhkfnwwhwOBPaNQx6ecZEK8C44WZQ04H79zR/zUSeMUtLhgFXU/9wz&#10;JyhR3w0qeJtPJnEi02Zy8wXpIO46sr2OmL2+B5zhHJ+T5cmM+UGdTelAv+JbWMZbMcQMx7srGs7m&#10;fRjGHt8SF8tlSsIZtCw8mrXlsXRkNTK86V+ZsycZAir4BOdRZOU7NYbcQY/lPoBsk1SR54HVE/04&#10;v0nB01uLD+R6n7Le/giL3wAAAP//AwBQSwMEFAAGAAgAAAAhAJDu1tnjAAAADQEAAA8AAABkcnMv&#10;ZG93bnJldi54bWxMj0FPg0AQhe8m/ofNmHizi5QSRJamIWlMjB5ae/G2sFMgsrPIblv01zue9DYz&#10;7+XN94r1bAdxxsn3jhTcLyIQSI0zPbUKDm/buwyED5qMHhyhgi/0sC6vrwqdG3ehHZ73oRUcQj7X&#10;CroQxlxK33RotV+4EYm1o5usDrxOrTSTvnC4HWQcRam0uif+0OkRqw6bj/3JKniutq96V8c2+x6q&#10;p5fjZvw8vK+Uur2ZN48gAs7hzwy/+IwOJTPV7kTGi0HBMnpI2cpCnKx4YksapwmImk/JMstAloX8&#10;36L8AQAA//8DAFBLAQItABQABgAIAAAAIQC2gziS/gAAAOEBAAATAAAAAAAAAAAAAAAAAAAAAABb&#10;Q29udGVudF9UeXBlc10ueG1sUEsBAi0AFAAGAAgAAAAhADj9If/WAAAAlAEAAAsAAAAAAAAAAAAA&#10;AAAALwEAAF9yZWxzLy5yZWxzUEsBAi0AFAAGAAgAAAAhAH9sfR0xAgAAWQQAAA4AAAAAAAAAAAAA&#10;AAAALgIAAGRycy9lMm9Eb2MueG1sUEsBAi0AFAAGAAgAAAAhAJDu1tnjAAAADQEAAA8AAAAAAAAA&#10;AAAAAAAAiwQAAGRycy9kb3ducmV2LnhtbFBLBQYAAAAABAAEAPMAAACbBQAAAAA=&#10;" filled="f" stroked="f" strokeweight=".5pt">
                <v:textbox>
                  <w:txbxContent>
                    <w:p w14:paraId="3D915A63" w14:textId="5FDAA799" w:rsidR="00631EB7" w:rsidRPr="006F74DE" w:rsidRDefault="00631EB7" w:rsidP="00CF2A29">
                      <w:pPr>
                        <w:spacing w:line="240" w:lineRule="auto"/>
                        <w:rPr>
                          <w:b/>
                          <w:color w:val="FFFFFF" w:themeColor="background1"/>
                        </w:rPr>
                      </w:pPr>
                      <w:proofErr w:type="spellStart"/>
                      <w:r w:rsidRPr="006F74DE">
                        <w:rPr>
                          <w:b/>
                          <w:color w:val="FFFFFF" w:themeColor="background1"/>
                        </w:rPr>
                        <w:t>QualityLogic</w:t>
                      </w:r>
                      <w:proofErr w:type="spellEnd"/>
                      <w:r w:rsidRPr="006F74DE">
                        <w:rPr>
                          <w:b/>
                          <w:color w:val="FFFFFF" w:themeColor="background1"/>
                        </w:rPr>
                        <w:t>: California</w:t>
                      </w:r>
                    </w:p>
                    <w:p w14:paraId="7EC6AC8C" w14:textId="383C7205" w:rsidR="00631EB7" w:rsidRPr="00CF2A29" w:rsidRDefault="00631EB7" w:rsidP="00CF2A29">
                      <w:pPr>
                        <w:rPr>
                          <w:color w:val="FFFFFF" w:themeColor="background1"/>
                        </w:rPr>
                      </w:pPr>
                      <w:r w:rsidRPr="00CF2A29">
                        <w:rPr>
                          <w:color w:val="FFFFFF" w:themeColor="background1"/>
                        </w:rPr>
                        <w:t xml:space="preserve">2245 First Street, </w:t>
                      </w:r>
                      <w:r>
                        <w:rPr>
                          <w:color w:val="FFFFFF" w:themeColor="background1"/>
                        </w:rPr>
                        <w:t xml:space="preserve">                 </w:t>
                      </w:r>
                      <w:r w:rsidRPr="00CF2A29">
                        <w:rPr>
                          <w:color w:val="FFFFFF" w:themeColor="background1"/>
                        </w:rPr>
                        <w:t xml:space="preserve">Suite 103 </w:t>
                      </w:r>
                      <w:r>
                        <w:rPr>
                          <w:color w:val="FFFFFF" w:themeColor="background1"/>
                        </w:rPr>
                        <w:t xml:space="preserve">                                 </w:t>
                      </w:r>
                      <w:r w:rsidRPr="00CF2A29">
                        <w:rPr>
                          <w:color w:val="FFFFFF" w:themeColor="background1"/>
                        </w:rPr>
                        <w:t xml:space="preserve">Simi Valley, CA 93065 </w:t>
                      </w:r>
                    </w:p>
                    <w:p w14:paraId="5E9A786D" w14:textId="123B0F4D" w:rsidR="00631EB7" w:rsidRPr="00CF2A29" w:rsidRDefault="00631EB7" w:rsidP="00CF2A29">
                      <w:pPr>
                        <w:spacing w:after="0" w:line="240" w:lineRule="auto"/>
                        <w:rPr>
                          <w:color w:val="FFFFFF" w:themeColor="background1"/>
                        </w:rPr>
                      </w:pPr>
                    </w:p>
                  </w:txbxContent>
                </v:textbox>
                <w10:wrap anchorx="margin" anchory="page"/>
              </v:shape>
            </w:pict>
          </mc:Fallback>
        </mc:AlternateContent>
      </w:r>
      <w:r w:rsidR="006F74DE">
        <w:rPr>
          <w:noProof/>
          <w:sz w:val="16"/>
          <w:szCs w:val="16"/>
        </w:rPr>
        <mc:AlternateContent>
          <mc:Choice Requires="wps">
            <w:drawing>
              <wp:anchor distT="0" distB="0" distL="114300" distR="114300" simplePos="0" relativeHeight="251660288" behindDoc="0" locked="0" layoutInCell="1" allowOverlap="1" wp14:anchorId="510BF967" wp14:editId="295F1854">
                <wp:simplePos x="0" y="0"/>
                <wp:positionH relativeFrom="column">
                  <wp:posOffset>-220980</wp:posOffset>
                </wp:positionH>
                <wp:positionV relativeFrom="page">
                  <wp:posOffset>7909560</wp:posOffset>
                </wp:positionV>
                <wp:extent cx="2011680" cy="1226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11680" cy="1226820"/>
                        </a:xfrm>
                        <a:prstGeom prst="rect">
                          <a:avLst/>
                        </a:prstGeom>
                        <a:noFill/>
                        <a:ln w="6350">
                          <a:noFill/>
                        </a:ln>
                      </wps:spPr>
                      <wps:txbx>
                        <w:txbxContent>
                          <w:p w14:paraId="1F7B2C33" w14:textId="774DF087" w:rsidR="00631EB7" w:rsidRPr="006F74DE" w:rsidRDefault="00631EB7" w:rsidP="00CF2A29">
                            <w:pPr>
                              <w:spacing w:line="240" w:lineRule="auto"/>
                              <w:rPr>
                                <w:b/>
                                <w:color w:val="FFFFFF" w:themeColor="background1"/>
                              </w:rPr>
                            </w:pPr>
                            <w:proofErr w:type="spellStart"/>
                            <w:r w:rsidRPr="006F74DE">
                              <w:rPr>
                                <w:b/>
                                <w:color w:val="FFFFFF" w:themeColor="background1"/>
                              </w:rPr>
                              <w:t>QualityLogic</w:t>
                            </w:r>
                            <w:proofErr w:type="spellEnd"/>
                            <w:r w:rsidRPr="006F74DE">
                              <w:rPr>
                                <w:b/>
                                <w:color w:val="FFFFFF" w:themeColor="background1"/>
                              </w:rPr>
                              <w:t xml:space="preserve"> Headquarters</w:t>
                            </w:r>
                          </w:p>
                          <w:p w14:paraId="04116DB9" w14:textId="6C4F1CCA" w:rsidR="00631EB7" w:rsidRPr="00CF2A29" w:rsidRDefault="00631EB7" w:rsidP="00CF2A29">
                            <w:pPr>
                              <w:spacing w:after="0" w:line="240" w:lineRule="auto"/>
                              <w:rPr>
                                <w:color w:val="FFFFFF" w:themeColor="background1"/>
                              </w:rPr>
                            </w:pPr>
                            <w:r w:rsidRPr="00CF2A29">
                              <w:rPr>
                                <w:color w:val="FFFFFF" w:themeColor="background1"/>
                              </w:rPr>
                              <w:t>6148 North Discovery Way, Suite 175</w:t>
                            </w:r>
                          </w:p>
                          <w:p w14:paraId="32106E97" w14:textId="152800C6" w:rsidR="00631EB7" w:rsidRPr="00CF2A29" w:rsidRDefault="00631EB7" w:rsidP="00CF2A29">
                            <w:pPr>
                              <w:spacing w:after="0" w:line="240" w:lineRule="auto"/>
                              <w:rPr>
                                <w:color w:val="FFFFFF" w:themeColor="background1"/>
                              </w:rPr>
                            </w:pPr>
                            <w:r w:rsidRPr="00CF2A29">
                              <w:rPr>
                                <w:color w:val="FFFFFF" w:themeColor="background1"/>
                              </w:rPr>
                              <w:t>Boise, ID 83713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BF967" id="Text Box 3" o:spid="_x0000_s1029" type="#_x0000_t202" style="position:absolute;margin-left:-17.4pt;margin-top:622.8pt;width:158.4pt;height:96.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itMAIAAFkEAAAOAAAAZHJzL2Uyb0RvYy54bWysVMGO2jAQvVfqP1i+lxBgKUWEFd0VVSW0&#10;uxJUezaOTSLZHtc2JPTrO3YCi7Y9Vb0445nxeN574yzuW63ISThfgyloPhhSIgyHsjaHgv7YrT/N&#10;KPGBmZIpMKKgZ+Hp/fLjh0Vj52IEFahSOIJFjJ83tqBVCHaeZZ5XQjM/ACsMBiU4zQJu3SErHWuw&#10;ulbZaDicZg240jrgwnv0PnZBukz1pRQ8PEvpRSCqoNhbSKtL6z6u2XLB5gfHbFXzvg32D11oVhu8&#10;9FrqkQVGjq7+o5SuuQMPMgw46AykrLlIGBBNPnyHZlsxKxIWJMfbK03+/5XlT6cXR+qyoGNKDNMo&#10;0U60gXyFlowjO431c0zaWkwLLbpR5YvfozOCbqXT8YtwCMaR5/OV21iMoxPh5dMZhjjG8tFoOhsl&#10;9rO349b58E2AJtEoqEPxEqfstPEBW8HUS0q8zcC6VioJqAxpCjod3w3TgWsETyiDByOIrtlohXbf&#10;9pB7gHsoz4jPQTcf3vJ1jT1smA8vzOFAYN845OEZF6kA74LeoqQC9+tv/piPOmGUkgYHrKD+55E5&#10;QYn6blDBL/lkEicybSZ3n5EO4m4j+9uIOeoHwBnO8TlZnsyYH9TFlA70K76FVbwVQ8xwvLug4WI+&#10;hG7s8S1xsVqlJJxBy8LGbC2PpSOrkeFd+8qc7WUIqOATXEaRzd+p0eV2eqyOAWSdpIo8d6z29OP8&#10;JgX7txYfyO0+Zb39EZa/AQAA//8DAFBLAwQUAAYACAAAACEAV/7W1eMAAAANAQAADwAAAGRycy9k&#10;b3ducmV2LnhtbEyPzU7DMBCE70i8g7VI3FqnaVpZIU5VRaqQEBxaeuG2id0kqn9C7LaBp2c5wXFn&#10;RrPfFJvJGnbVY+i9k7CYJ8C0a7zqXSvh+L6bCWAholNovNMSvnSATXl/V2Cu/M3t9fUQW0YlLuQo&#10;oYtxyDkPTacthrkftCPv5EeLkc6x5WrEG5Vbw9MkWXOLvaMPHQ666nRzPlyshJdq94b7OrXi21TP&#10;r6ft8Hn8WEn5+DBtn4BFPcW/MPziEzqUxFT7i1OBGQmzZUbokYw0W62BUSQVKc2rScqWQgAvC/5/&#10;RfkDAAD//wMAUEsBAi0AFAAGAAgAAAAhALaDOJL+AAAA4QEAABMAAAAAAAAAAAAAAAAAAAAAAFtD&#10;b250ZW50X1R5cGVzXS54bWxQSwECLQAUAAYACAAAACEAOP0h/9YAAACUAQAACwAAAAAAAAAAAAAA&#10;AAAvAQAAX3JlbHMvLnJlbHNQSwECLQAUAAYACAAAACEA+754rTACAABZBAAADgAAAAAAAAAAAAAA&#10;AAAuAgAAZHJzL2Uyb0RvYy54bWxQSwECLQAUAAYACAAAACEAV/7W1eMAAAANAQAADwAAAAAAAAAA&#10;AAAAAACKBAAAZHJzL2Rvd25yZXYueG1sUEsFBgAAAAAEAAQA8wAAAJoFAAAAAA==&#10;" filled="f" stroked="f" strokeweight=".5pt">
                <v:textbox>
                  <w:txbxContent>
                    <w:p w14:paraId="1F7B2C33" w14:textId="774DF087" w:rsidR="00631EB7" w:rsidRPr="006F74DE" w:rsidRDefault="00631EB7" w:rsidP="00CF2A29">
                      <w:pPr>
                        <w:spacing w:line="240" w:lineRule="auto"/>
                        <w:rPr>
                          <w:b/>
                          <w:color w:val="FFFFFF" w:themeColor="background1"/>
                        </w:rPr>
                      </w:pPr>
                      <w:proofErr w:type="spellStart"/>
                      <w:r w:rsidRPr="006F74DE">
                        <w:rPr>
                          <w:b/>
                          <w:color w:val="FFFFFF" w:themeColor="background1"/>
                        </w:rPr>
                        <w:t>QualityLogic</w:t>
                      </w:r>
                      <w:proofErr w:type="spellEnd"/>
                      <w:r w:rsidRPr="006F74DE">
                        <w:rPr>
                          <w:b/>
                          <w:color w:val="FFFFFF" w:themeColor="background1"/>
                        </w:rPr>
                        <w:t xml:space="preserve"> Headquarters</w:t>
                      </w:r>
                    </w:p>
                    <w:p w14:paraId="04116DB9" w14:textId="6C4F1CCA" w:rsidR="00631EB7" w:rsidRPr="00CF2A29" w:rsidRDefault="00631EB7" w:rsidP="00CF2A29">
                      <w:pPr>
                        <w:spacing w:after="0" w:line="240" w:lineRule="auto"/>
                        <w:rPr>
                          <w:color w:val="FFFFFF" w:themeColor="background1"/>
                        </w:rPr>
                      </w:pPr>
                      <w:r w:rsidRPr="00CF2A29">
                        <w:rPr>
                          <w:color w:val="FFFFFF" w:themeColor="background1"/>
                        </w:rPr>
                        <w:t>6148 North Discovery Way, Suite 175</w:t>
                      </w:r>
                    </w:p>
                    <w:p w14:paraId="32106E97" w14:textId="152800C6" w:rsidR="00631EB7" w:rsidRPr="00CF2A29" w:rsidRDefault="00631EB7" w:rsidP="00CF2A29">
                      <w:pPr>
                        <w:spacing w:after="0" w:line="240" w:lineRule="auto"/>
                        <w:rPr>
                          <w:color w:val="FFFFFF" w:themeColor="background1"/>
                        </w:rPr>
                      </w:pPr>
                      <w:r w:rsidRPr="00CF2A29">
                        <w:rPr>
                          <w:color w:val="FFFFFF" w:themeColor="background1"/>
                        </w:rPr>
                        <w:t>Boise, ID 83713</w:t>
                      </w:r>
                    </w:p>
                  </w:txbxContent>
                </v:textbox>
                <w10:wrap anchory="page"/>
              </v:shape>
            </w:pict>
          </mc:Fallback>
        </mc:AlternateContent>
      </w:r>
      <w:r w:rsidR="00AC400A">
        <w:rPr>
          <w:sz w:val="28"/>
          <w:szCs w:val="28"/>
        </w:rPr>
        <w:t>V</w:t>
      </w:r>
      <w:r w:rsidR="008577BA">
        <w:rPr>
          <w:sz w:val="28"/>
          <w:szCs w:val="28"/>
        </w:rPr>
        <w:t>0.8</w:t>
      </w:r>
    </w:p>
    <w:sdt>
      <w:sdtPr>
        <w:rPr>
          <w:rFonts w:asciiTheme="minorHAnsi" w:eastAsiaTheme="minorHAnsi" w:hAnsiTheme="minorHAnsi" w:cstheme="minorBidi"/>
          <w:color w:val="auto"/>
          <w:sz w:val="22"/>
          <w:szCs w:val="22"/>
        </w:rPr>
        <w:id w:val="-591164033"/>
        <w:docPartObj>
          <w:docPartGallery w:val="Table of Contents"/>
          <w:docPartUnique/>
        </w:docPartObj>
      </w:sdtPr>
      <w:sdtEndPr>
        <w:rPr>
          <w:rFonts w:ascii="Calibri" w:hAnsi="Calibri"/>
          <w:b/>
          <w:bCs/>
          <w:noProof/>
          <w:color w:val="595959" w:themeColor="text1" w:themeTint="A6"/>
        </w:rPr>
      </w:sdtEndPr>
      <w:sdtContent>
        <w:p w14:paraId="413B13E2" w14:textId="14C4D008" w:rsidR="00D8404F" w:rsidRPr="008453F3" w:rsidRDefault="00D8404F" w:rsidP="008453F3">
          <w:pPr>
            <w:pStyle w:val="TOCHeading"/>
          </w:pPr>
          <w:r w:rsidRPr="008453F3">
            <w:t>Contents</w:t>
          </w:r>
        </w:p>
        <w:p w14:paraId="6ACCEC42" w14:textId="087835C8" w:rsidR="00CA2C14" w:rsidRDefault="00D8404F">
          <w:pPr>
            <w:pStyle w:val="TOC1"/>
            <w:rPr>
              <w:rFonts w:asciiTheme="minorHAnsi" w:eastAsiaTheme="minorEastAsia" w:hAnsiTheme="minorHAnsi"/>
              <w:noProof/>
              <w:color w:val="auto"/>
            </w:rPr>
          </w:pPr>
          <w:r>
            <w:fldChar w:fldCharType="begin"/>
          </w:r>
          <w:r>
            <w:instrText xml:space="preserve"> TOC \o "1-3" \h \z \u </w:instrText>
          </w:r>
          <w:r>
            <w:fldChar w:fldCharType="separate"/>
          </w:r>
          <w:hyperlink w:anchor="_Toc64987999" w:history="1">
            <w:r w:rsidR="00CA2C14" w:rsidRPr="00517D40">
              <w:rPr>
                <w:rStyle w:val="Hyperlink"/>
                <w:noProof/>
              </w:rPr>
              <w:t>1.</w:t>
            </w:r>
            <w:r w:rsidR="00CA2C14">
              <w:rPr>
                <w:rFonts w:asciiTheme="minorHAnsi" w:eastAsiaTheme="minorEastAsia" w:hAnsiTheme="minorHAnsi"/>
                <w:noProof/>
                <w:color w:val="auto"/>
              </w:rPr>
              <w:tab/>
            </w:r>
            <w:r w:rsidR="00CA2C14" w:rsidRPr="00517D40">
              <w:rPr>
                <w:rStyle w:val="Hyperlink"/>
                <w:noProof/>
              </w:rPr>
              <w:t>Revision History</w:t>
            </w:r>
            <w:r w:rsidR="00CA2C14">
              <w:rPr>
                <w:noProof/>
                <w:webHidden/>
              </w:rPr>
              <w:tab/>
            </w:r>
            <w:r w:rsidR="00CA2C14">
              <w:rPr>
                <w:noProof/>
                <w:webHidden/>
              </w:rPr>
              <w:fldChar w:fldCharType="begin"/>
            </w:r>
            <w:r w:rsidR="00CA2C14">
              <w:rPr>
                <w:noProof/>
                <w:webHidden/>
              </w:rPr>
              <w:instrText xml:space="preserve"> PAGEREF _Toc64987999 \h </w:instrText>
            </w:r>
            <w:r w:rsidR="00CA2C14">
              <w:rPr>
                <w:noProof/>
                <w:webHidden/>
              </w:rPr>
            </w:r>
            <w:r w:rsidR="00CA2C14">
              <w:rPr>
                <w:noProof/>
                <w:webHidden/>
              </w:rPr>
              <w:fldChar w:fldCharType="separate"/>
            </w:r>
            <w:r w:rsidR="00CA2C14">
              <w:rPr>
                <w:noProof/>
                <w:webHidden/>
              </w:rPr>
              <w:t>2</w:t>
            </w:r>
            <w:r w:rsidR="00CA2C14">
              <w:rPr>
                <w:noProof/>
                <w:webHidden/>
              </w:rPr>
              <w:fldChar w:fldCharType="end"/>
            </w:r>
          </w:hyperlink>
        </w:p>
        <w:p w14:paraId="52908A99" w14:textId="0E79D345" w:rsidR="00CA2C14" w:rsidRDefault="00CA2C14">
          <w:pPr>
            <w:pStyle w:val="TOC1"/>
            <w:rPr>
              <w:rFonts w:asciiTheme="minorHAnsi" w:eastAsiaTheme="minorEastAsia" w:hAnsiTheme="minorHAnsi"/>
              <w:noProof/>
              <w:color w:val="auto"/>
            </w:rPr>
          </w:pPr>
          <w:hyperlink w:anchor="_Toc64988000" w:history="1">
            <w:r w:rsidRPr="00517D40">
              <w:rPr>
                <w:rStyle w:val="Hyperlink"/>
                <w:noProof/>
              </w:rPr>
              <w:t>2.</w:t>
            </w:r>
            <w:r>
              <w:rPr>
                <w:rFonts w:asciiTheme="minorHAnsi" w:eastAsiaTheme="minorEastAsia" w:hAnsiTheme="minorHAnsi"/>
                <w:noProof/>
                <w:color w:val="auto"/>
              </w:rPr>
              <w:tab/>
            </w:r>
            <w:r w:rsidRPr="00517D40">
              <w:rPr>
                <w:rStyle w:val="Hyperlink"/>
                <w:noProof/>
              </w:rPr>
              <w:t>The Need for DER Protocols Information</w:t>
            </w:r>
            <w:r>
              <w:rPr>
                <w:noProof/>
                <w:webHidden/>
              </w:rPr>
              <w:tab/>
            </w:r>
            <w:r>
              <w:rPr>
                <w:noProof/>
                <w:webHidden/>
              </w:rPr>
              <w:fldChar w:fldCharType="begin"/>
            </w:r>
            <w:r>
              <w:rPr>
                <w:noProof/>
                <w:webHidden/>
              </w:rPr>
              <w:instrText xml:space="preserve"> PAGEREF _Toc64988000 \h </w:instrText>
            </w:r>
            <w:r>
              <w:rPr>
                <w:noProof/>
                <w:webHidden/>
              </w:rPr>
            </w:r>
            <w:r>
              <w:rPr>
                <w:noProof/>
                <w:webHidden/>
              </w:rPr>
              <w:fldChar w:fldCharType="separate"/>
            </w:r>
            <w:r>
              <w:rPr>
                <w:noProof/>
                <w:webHidden/>
              </w:rPr>
              <w:t>3</w:t>
            </w:r>
            <w:r>
              <w:rPr>
                <w:noProof/>
                <w:webHidden/>
              </w:rPr>
              <w:fldChar w:fldCharType="end"/>
            </w:r>
          </w:hyperlink>
        </w:p>
        <w:p w14:paraId="0E21FBB5" w14:textId="11C33A65" w:rsidR="00CA2C14" w:rsidRDefault="00CA2C14">
          <w:pPr>
            <w:pStyle w:val="TOC1"/>
            <w:rPr>
              <w:rFonts w:asciiTheme="minorHAnsi" w:eastAsiaTheme="minorEastAsia" w:hAnsiTheme="minorHAnsi"/>
              <w:noProof/>
              <w:color w:val="auto"/>
            </w:rPr>
          </w:pPr>
          <w:hyperlink w:anchor="_Toc64988001" w:history="1">
            <w:r w:rsidRPr="00517D40">
              <w:rPr>
                <w:rStyle w:val="Hyperlink"/>
                <w:noProof/>
              </w:rPr>
              <w:t>3.</w:t>
            </w:r>
            <w:r>
              <w:rPr>
                <w:rFonts w:asciiTheme="minorHAnsi" w:eastAsiaTheme="minorEastAsia" w:hAnsiTheme="minorHAnsi"/>
                <w:noProof/>
                <w:color w:val="auto"/>
              </w:rPr>
              <w:tab/>
            </w:r>
            <w:r w:rsidRPr="00517D40">
              <w:rPr>
                <w:rStyle w:val="Hyperlink"/>
                <w:noProof/>
              </w:rPr>
              <w:t>Current Information on Standards</w:t>
            </w:r>
            <w:r>
              <w:rPr>
                <w:noProof/>
                <w:webHidden/>
              </w:rPr>
              <w:tab/>
            </w:r>
            <w:r>
              <w:rPr>
                <w:noProof/>
                <w:webHidden/>
              </w:rPr>
              <w:fldChar w:fldCharType="begin"/>
            </w:r>
            <w:r>
              <w:rPr>
                <w:noProof/>
                <w:webHidden/>
              </w:rPr>
              <w:instrText xml:space="preserve"> PAGEREF _Toc64988001 \h </w:instrText>
            </w:r>
            <w:r>
              <w:rPr>
                <w:noProof/>
                <w:webHidden/>
              </w:rPr>
            </w:r>
            <w:r>
              <w:rPr>
                <w:noProof/>
                <w:webHidden/>
              </w:rPr>
              <w:fldChar w:fldCharType="separate"/>
            </w:r>
            <w:r>
              <w:rPr>
                <w:noProof/>
                <w:webHidden/>
              </w:rPr>
              <w:t>3</w:t>
            </w:r>
            <w:r>
              <w:rPr>
                <w:noProof/>
                <w:webHidden/>
              </w:rPr>
              <w:fldChar w:fldCharType="end"/>
            </w:r>
          </w:hyperlink>
        </w:p>
        <w:p w14:paraId="48C2065A" w14:textId="18471825" w:rsidR="00CA2C14" w:rsidRDefault="00CA2C14">
          <w:pPr>
            <w:pStyle w:val="TOC2"/>
            <w:rPr>
              <w:rFonts w:asciiTheme="minorHAnsi" w:eastAsiaTheme="minorEastAsia" w:hAnsiTheme="minorHAnsi"/>
              <w:color w:val="auto"/>
            </w:rPr>
          </w:pPr>
          <w:hyperlink w:anchor="_Toc64988002" w:history="1">
            <w:r w:rsidRPr="00517D40">
              <w:rPr>
                <w:rStyle w:val="Hyperlink"/>
              </w:rPr>
              <w:t>DER Protocols Platform Survey Responses</w:t>
            </w:r>
            <w:r>
              <w:rPr>
                <w:webHidden/>
              </w:rPr>
              <w:tab/>
            </w:r>
            <w:r>
              <w:rPr>
                <w:webHidden/>
              </w:rPr>
              <w:fldChar w:fldCharType="begin"/>
            </w:r>
            <w:r>
              <w:rPr>
                <w:webHidden/>
              </w:rPr>
              <w:instrText xml:space="preserve"> PAGEREF _Toc64988002 \h </w:instrText>
            </w:r>
            <w:r>
              <w:rPr>
                <w:webHidden/>
              </w:rPr>
            </w:r>
            <w:r>
              <w:rPr>
                <w:webHidden/>
              </w:rPr>
              <w:fldChar w:fldCharType="separate"/>
            </w:r>
            <w:r>
              <w:rPr>
                <w:webHidden/>
              </w:rPr>
              <w:t>5</w:t>
            </w:r>
            <w:r>
              <w:rPr>
                <w:webHidden/>
              </w:rPr>
              <w:fldChar w:fldCharType="end"/>
            </w:r>
          </w:hyperlink>
        </w:p>
        <w:p w14:paraId="567A7BFE" w14:textId="2E23DB3F" w:rsidR="00CA2C14" w:rsidRDefault="00CA2C14">
          <w:pPr>
            <w:pStyle w:val="TOC1"/>
            <w:rPr>
              <w:rFonts w:asciiTheme="minorHAnsi" w:eastAsiaTheme="minorEastAsia" w:hAnsiTheme="minorHAnsi"/>
              <w:noProof/>
              <w:color w:val="auto"/>
            </w:rPr>
          </w:pPr>
          <w:hyperlink w:anchor="_Toc64988003" w:history="1">
            <w:r w:rsidRPr="00517D40">
              <w:rPr>
                <w:rStyle w:val="Hyperlink"/>
                <w:noProof/>
              </w:rPr>
              <w:t>4.</w:t>
            </w:r>
            <w:r>
              <w:rPr>
                <w:rFonts w:asciiTheme="minorHAnsi" w:eastAsiaTheme="minorEastAsia" w:hAnsiTheme="minorHAnsi"/>
                <w:noProof/>
                <w:color w:val="auto"/>
              </w:rPr>
              <w:tab/>
            </w:r>
            <w:r w:rsidRPr="00517D40">
              <w:rPr>
                <w:rStyle w:val="Hyperlink"/>
                <w:noProof/>
              </w:rPr>
              <w:t>Key DER Interface Standards</w:t>
            </w:r>
            <w:r>
              <w:rPr>
                <w:noProof/>
                <w:webHidden/>
              </w:rPr>
              <w:tab/>
            </w:r>
            <w:r>
              <w:rPr>
                <w:noProof/>
                <w:webHidden/>
              </w:rPr>
              <w:fldChar w:fldCharType="begin"/>
            </w:r>
            <w:r>
              <w:rPr>
                <w:noProof/>
                <w:webHidden/>
              </w:rPr>
              <w:instrText xml:space="preserve"> PAGEREF _Toc64988003 \h </w:instrText>
            </w:r>
            <w:r>
              <w:rPr>
                <w:noProof/>
                <w:webHidden/>
              </w:rPr>
            </w:r>
            <w:r>
              <w:rPr>
                <w:noProof/>
                <w:webHidden/>
              </w:rPr>
              <w:fldChar w:fldCharType="separate"/>
            </w:r>
            <w:r>
              <w:rPr>
                <w:noProof/>
                <w:webHidden/>
              </w:rPr>
              <w:t>6</w:t>
            </w:r>
            <w:r>
              <w:rPr>
                <w:noProof/>
                <w:webHidden/>
              </w:rPr>
              <w:fldChar w:fldCharType="end"/>
            </w:r>
          </w:hyperlink>
        </w:p>
        <w:p w14:paraId="33F39C30" w14:textId="0A426A2E" w:rsidR="00CA2C14" w:rsidRDefault="00CA2C14">
          <w:pPr>
            <w:pStyle w:val="TOC2"/>
            <w:rPr>
              <w:rFonts w:asciiTheme="minorHAnsi" w:eastAsiaTheme="minorEastAsia" w:hAnsiTheme="minorHAnsi"/>
              <w:color w:val="auto"/>
            </w:rPr>
          </w:pPr>
          <w:hyperlink w:anchor="_Toc64988004" w:history="1">
            <w:r w:rsidRPr="00517D40">
              <w:rPr>
                <w:rStyle w:val="Hyperlink"/>
              </w:rPr>
              <w:t>Demand Response</w:t>
            </w:r>
            <w:r>
              <w:rPr>
                <w:webHidden/>
              </w:rPr>
              <w:tab/>
            </w:r>
            <w:r>
              <w:rPr>
                <w:webHidden/>
              </w:rPr>
              <w:fldChar w:fldCharType="begin"/>
            </w:r>
            <w:r>
              <w:rPr>
                <w:webHidden/>
              </w:rPr>
              <w:instrText xml:space="preserve"> PAGEREF _Toc64988004 \h </w:instrText>
            </w:r>
            <w:r>
              <w:rPr>
                <w:webHidden/>
              </w:rPr>
            </w:r>
            <w:r>
              <w:rPr>
                <w:webHidden/>
              </w:rPr>
              <w:fldChar w:fldCharType="separate"/>
            </w:r>
            <w:r>
              <w:rPr>
                <w:webHidden/>
              </w:rPr>
              <w:t>6</w:t>
            </w:r>
            <w:r>
              <w:rPr>
                <w:webHidden/>
              </w:rPr>
              <w:fldChar w:fldCharType="end"/>
            </w:r>
          </w:hyperlink>
        </w:p>
        <w:p w14:paraId="23BB99E8" w14:textId="467A8E38" w:rsidR="00CA2C14" w:rsidRDefault="00CA2C14">
          <w:pPr>
            <w:pStyle w:val="TOC2"/>
            <w:rPr>
              <w:rFonts w:asciiTheme="minorHAnsi" w:eastAsiaTheme="minorEastAsia" w:hAnsiTheme="minorHAnsi"/>
              <w:color w:val="auto"/>
            </w:rPr>
          </w:pPr>
          <w:hyperlink w:anchor="_Toc64988005" w:history="1">
            <w:r w:rsidRPr="00517D40">
              <w:rPr>
                <w:rStyle w:val="Hyperlink"/>
              </w:rPr>
              <w:t>Behind-the-meter Solar and Storage</w:t>
            </w:r>
            <w:r>
              <w:rPr>
                <w:webHidden/>
              </w:rPr>
              <w:tab/>
            </w:r>
            <w:r>
              <w:rPr>
                <w:webHidden/>
              </w:rPr>
              <w:fldChar w:fldCharType="begin"/>
            </w:r>
            <w:r>
              <w:rPr>
                <w:webHidden/>
              </w:rPr>
              <w:instrText xml:space="preserve"> PAGEREF _Toc64988005 \h </w:instrText>
            </w:r>
            <w:r>
              <w:rPr>
                <w:webHidden/>
              </w:rPr>
            </w:r>
            <w:r>
              <w:rPr>
                <w:webHidden/>
              </w:rPr>
              <w:fldChar w:fldCharType="separate"/>
            </w:r>
            <w:r>
              <w:rPr>
                <w:webHidden/>
              </w:rPr>
              <w:t>6</w:t>
            </w:r>
            <w:r>
              <w:rPr>
                <w:webHidden/>
              </w:rPr>
              <w:fldChar w:fldCharType="end"/>
            </w:r>
          </w:hyperlink>
        </w:p>
        <w:p w14:paraId="6F0C2328" w14:textId="0301FB81" w:rsidR="00CA2C14" w:rsidRDefault="00CA2C14">
          <w:pPr>
            <w:pStyle w:val="TOC2"/>
            <w:rPr>
              <w:rFonts w:asciiTheme="minorHAnsi" w:eastAsiaTheme="minorEastAsia" w:hAnsiTheme="minorHAnsi"/>
              <w:color w:val="auto"/>
            </w:rPr>
          </w:pPr>
          <w:hyperlink w:anchor="_Toc64988006" w:history="1">
            <w:r w:rsidRPr="00517D40">
              <w:rPr>
                <w:rStyle w:val="Hyperlink"/>
              </w:rPr>
              <w:t>Behind-the-meter Plug-in Electric Vehicles both in V1G and V2G applications</w:t>
            </w:r>
            <w:r>
              <w:rPr>
                <w:webHidden/>
              </w:rPr>
              <w:tab/>
            </w:r>
            <w:r>
              <w:rPr>
                <w:webHidden/>
              </w:rPr>
              <w:fldChar w:fldCharType="begin"/>
            </w:r>
            <w:r>
              <w:rPr>
                <w:webHidden/>
              </w:rPr>
              <w:instrText xml:space="preserve"> PAGEREF _Toc64988006 \h </w:instrText>
            </w:r>
            <w:r>
              <w:rPr>
                <w:webHidden/>
              </w:rPr>
            </w:r>
            <w:r>
              <w:rPr>
                <w:webHidden/>
              </w:rPr>
              <w:fldChar w:fldCharType="separate"/>
            </w:r>
            <w:r>
              <w:rPr>
                <w:webHidden/>
              </w:rPr>
              <w:t>7</w:t>
            </w:r>
            <w:r>
              <w:rPr>
                <w:webHidden/>
              </w:rPr>
              <w:fldChar w:fldCharType="end"/>
            </w:r>
          </w:hyperlink>
        </w:p>
        <w:p w14:paraId="3FADB97B" w14:textId="27915982" w:rsidR="00CA2C14" w:rsidRDefault="00CA2C14">
          <w:pPr>
            <w:pStyle w:val="TOC2"/>
            <w:rPr>
              <w:rFonts w:asciiTheme="minorHAnsi" w:eastAsiaTheme="minorEastAsia" w:hAnsiTheme="minorHAnsi"/>
              <w:color w:val="auto"/>
            </w:rPr>
          </w:pPr>
          <w:hyperlink w:anchor="_Toc64988007" w:history="1">
            <w:r w:rsidRPr="00517D40">
              <w:rPr>
                <w:rStyle w:val="Hyperlink"/>
              </w:rPr>
              <w:t>Microgrids</w:t>
            </w:r>
            <w:r>
              <w:rPr>
                <w:webHidden/>
              </w:rPr>
              <w:tab/>
            </w:r>
            <w:r>
              <w:rPr>
                <w:webHidden/>
              </w:rPr>
              <w:fldChar w:fldCharType="begin"/>
            </w:r>
            <w:r>
              <w:rPr>
                <w:webHidden/>
              </w:rPr>
              <w:instrText xml:space="preserve"> PAGEREF _Toc64988007 \h </w:instrText>
            </w:r>
            <w:r>
              <w:rPr>
                <w:webHidden/>
              </w:rPr>
            </w:r>
            <w:r>
              <w:rPr>
                <w:webHidden/>
              </w:rPr>
              <w:fldChar w:fldCharType="separate"/>
            </w:r>
            <w:r>
              <w:rPr>
                <w:webHidden/>
              </w:rPr>
              <w:t>7</w:t>
            </w:r>
            <w:r>
              <w:rPr>
                <w:webHidden/>
              </w:rPr>
              <w:fldChar w:fldCharType="end"/>
            </w:r>
          </w:hyperlink>
        </w:p>
        <w:p w14:paraId="06B17895" w14:textId="5C500235" w:rsidR="00CA2C14" w:rsidRDefault="00CA2C14">
          <w:pPr>
            <w:pStyle w:val="TOC2"/>
            <w:rPr>
              <w:rFonts w:asciiTheme="minorHAnsi" w:eastAsiaTheme="minorEastAsia" w:hAnsiTheme="minorHAnsi"/>
              <w:color w:val="auto"/>
            </w:rPr>
          </w:pPr>
          <w:hyperlink w:anchor="_Toc64988008" w:history="1">
            <w:r w:rsidRPr="00517D40">
              <w:rPr>
                <w:rStyle w:val="Hyperlink"/>
              </w:rPr>
              <w:t>DER Protocols Platform Survey Responses</w:t>
            </w:r>
            <w:r>
              <w:rPr>
                <w:webHidden/>
              </w:rPr>
              <w:tab/>
            </w:r>
            <w:r>
              <w:rPr>
                <w:webHidden/>
              </w:rPr>
              <w:fldChar w:fldCharType="begin"/>
            </w:r>
            <w:r>
              <w:rPr>
                <w:webHidden/>
              </w:rPr>
              <w:instrText xml:space="preserve"> PAGEREF _Toc64988008 \h </w:instrText>
            </w:r>
            <w:r>
              <w:rPr>
                <w:webHidden/>
              </w:rPr>
            </w:r>
            <w:r>
              <w:rPr>
                <w:webHidden/>
              </w:rPr>
              <w:fldChar w:fldCharType="separate"/>
            </w:r>
            <w:r>
              <w:rPr>
                <w:webHidden/>
              </w:rPr>
              <w:t>7</w:t>
            </w:r>
            <w:r>
              <w:rPr>
                <w:webHidden/>
              </w:rPr>
              <w:fldChar w:fldCharType="end"/>
            </w:r>
          </w:hyperlink>
        </w:p>
        <w:p w14:paraId="616B97E3" w14:textId="7C8466F3" w:rsidR="00CA2C14" w:rsidRDefault="00CA2C14">
          <w:pPr>
            <w:pStyle w:val="TOC1"/>
            <w:rPr>
              <w:rFonts w:asciiTheme="minorHAnsi" w:eastAsiaTheme="minorEastAsia" w:hAnsiTheme="minorHAnsi"/>
              <w:noProof/>
              <w:color w:val="auto"/>
            </w:rPr>
          </w:pPr>
          <w:hyperlink w:anchor="_Toc64988009" w:history="1">
            <w:r w:rsidRPr="00517D40">
              <w:rPr>
                <w:rStyle w:val="Hyperlink"/>
                <w:noProof/>
              </w:rPr>
              <w:t>5.</w:t>
            </w:r>
            <w:r>
              <w:rPr>
                <w:rFonts w:asciiTheme="minorHAnsi" w:eastAsiaTheme="minorEastAsia" w:hAnsiTheme="minorHAnsi"/>
                <w:noProof/>
                <w:color w:val="auto"/>
              </w:rPr>
              <w:tab/>
            </w:r>
            <w:r w:rsidRPr="00517D40">
              <w:rPr>
                <w:rStyle w:val="Hyperlink"/>
                <w:noProof/>
              </w:rPr>
              <w:t>Standards Information of Most Interest</w:t>
            </w:r>
            <w:r>
              <w:rPr>
                <w:noProof/>
                <w:webHidden/>
              </w:rPr>
              <w:tab/>
            </w:r>
            <w:r>
              <w:rPr>
                <w:noProof/>
                <w:webHidden/>
              </w:rPr>
              <w:fldChar w:fldCharType="begin"/>
            </w:r>
            <w:r>
              <w:rPr>
                <w:noProof/>
                <w:webHidden/>
              </w:rPr>
              <w:instrText xml:space="preserve"> PAGEREF _Toc64988009 \h </w:instrText>
            </w:r>
            <w:r>
              <w:rPr>
                <w:noProof/>
                <w:webHidden/>
              </w:rPr>
            </w:r>
            <w:r>
              <w:rPr>
                <w:noProof/>
                <w:webHidden/>
              </w:rPr>
              <w:fldChar w:fldCharType="separate"/>
            </w:r>
            <w:r>
              <w:rPr>
                <w:noProof/>
                <w:webHidden/>
              </w:rPr>
              <w:t>8</w:t>
            </w:r>
            <w:r>
              <w:rPr>
                <w:noProof/>
                <w:webHidden/>
              </w:rPr>
              <w:fldChar w:fldCharType="end"/>
            </w:r>
          </w:hyperlink>
        </w:p>
        <w:p w14:paraId="77AEBC4C" w14:textId="33B04E1F" w:rsidR="00CA2C14" w:rsidRDefault="00CA2C14">
          <w:pPr>
            <w:pStyle w:val="TOC1"/>
            <w:rPr>
              <w:rFonts w:asciiTheme="minorHAnsi" w:eastAsiaTheme="minorEastAsia" w:hAnsiTheme="minorHAnsi"/>
              <w:noProof/>
              <w:color w:val="auto"/>
            </w:rPr>
          </w:pPr>
          <w:hyperlink w:anchor="_Toc64988010" w:history="1">
            <w:r w:rsidRPr="00517D40">
              <w:rPr>
                <w:rStyle w:val="Hyperlink"/>
                <w:noProof/>
              </w:rPr>
              <w:t>6.</w:t>
            </w:r>
            <w:r>
              <w:rPr>
                <w:rFonts w:asciiTheme="minorHAnsi" w:eastAsiaTheme="minorEastAsia" w:hAnsiTheme="minorHAnsi"/>
                <w:noProof/>
                <w:color w:val="auto"/>
              </w:rPr>
              <w:tab/>
            </w:r>
            <w:r w:rsidRPr="00517D40">
              <w:rPr>
                <w:rStyle w:val="Hyperlink"/>
                <w:noProof/>
              </w:rPr>
              <w:t>A DER Protocols Platform</w:t>
            </w:r>
            <w:r>
              <w:rPr>
                <w:noProof/>
                <w:webHidden/>
              </w:rPr>
              <w:tab/>
            </w:r>
            <w:r>
              <w:rPr>
                <w:noProof/>
                <w:webHidden/>
              </w:rPr>
              <w:fldChar w:fldCharType="begin"/>
            </w:r>
            <w:r>
              <w:rPr>
                <w:noProof/>
                <w:webHidden/>
              </w:rPr>
              <w:instrText xml:space="preserve"> PAGEREF _Toc64988010 \h </w:instrText>
            </w:r>
            <w:r>
              <w:rPr>
                <w:noProof/>
                <w:webHidden/>
              </w:rPr>
            </w:r>
            <w:r>
              <w:rPr>
                <w:noProof/>
                <w:webHidden/>
              </w:rPr>
              <w:fldChar w:fldCharType="separate"/>
            </w:r>
            <w:r>
              <w:rPr>
                <w:noProof/>
                <w:webHidden/>
              </w:rPr>
              <w:t>9</w:t>
            </w:r>
            <w:r>
              <w:rPr>
                <w:noProof/>
                <w:webHidden/>
              </w:rPr>
              <w:fldChar w:fldCharType="end"/>
            </w:r>
          </w:hyperlink>
        </w:p>
        <w:p w14:paraId="61AC5B28" w14:textId="057AB1D7" w:rsidR="008008E3" w:rsidRDefault="00D8404F">
          <w:r>
            <w:rPr>
              <w:b/>
              <w:bCs/>
              <w:noProof/>
            </w:rPr>
            <w:fldChar w:fldCharType="end"/>
          </w:r>
        </w:p>
      </w:sdtContent>
    </w:sdt>
    <w:p w14:paraId="63EC9740" w14:textId="429CD709" w:rsidR="008008E3" w:rsidRDefault="008008E3" w:rsidP="009E4BBB">
      <w:pPr>
        <w:pStyle w:val="BodyText"/>
        <w:rPr>
          <w:rFonts w:eastAsiaTheme="minorHAnsi" w:cstheme="minorBidi"/>
          <w:spacing w:val="0"/>
          <w:szCs w:val="22"/>
        </w:rPr>
      </w:pPr>
    </w:p>
    <w:p w14:paraId="15F25335" w14:textId="04A73277" w:rsidR="00FE632F" w:rsidRDefault="00FE632F" w:rsidP="009E4BBB">
      <w:pPr>
        <w:pStyle w:val="BodyText"/>
      </w:pPr>
    </w:p>
    <w:p w14:paraId="1D47B09C" w14:textId="77777777" w:rsidR="0088530C" w:rsidRDefault="0088530C" w:rsidP="009E4BBB">
      <w:pPr>
        <w:pStyle w:val="BodyText"/>
      </w:pPr>
    </w:p>
    <w:p w14:paraId="5A4DEF1A" w14:textId="77777777" w:rsidR="0088530C" w:rsidRDefault="0088530C" w:rsidP="0088530C">
      <w:pPr>
        <w:pStyle w:val="Heading1"/>
      </w:pPr>
      <w:bookmarkStart w:id="1" w:name="_Toc64987999"/>
      <w:r w:rsidRPr="005A3B4A">
        <w:t>Revision</w:t>
      </w:r>
      <w:r>
        <w:t xml:space="preserve"> History</w:t>
      </w:r>
      <w:bookmarkEnd w:id="1"/>
    </w:p>
    <w:tbl>
      <w:tblPr>
        <w:tblStyle w:val="PlainTable1"/>
        <w:tblW w:w="8640" w:type="dxa"/>
        <w:tblLook w:val="04A0" w:firstRow="1" w:lastRow="0" w:firstColumn="1" w:lastColumn="0" w:noHBand="0" w:noVBand="1"/>
        <w:tblCaption w:val="revision history table "/>
        <w:tblDescription w:val="revision history table with colums for version, date, description, and name"/>
      </w:tblPr>
      <w:tblGrid>
        <w:gridCol w:w="1890"/>
        <w:gridCol w:w="1593"/>
        <w:gridCol w:w="3020"/>
        <w:gridCol w:w="2137"/>
      </w:tblGrid>
      <w:tr w:rsidR="0088530C" w:rsidRPr="001C0D6D" w14:paraId="6F8CC28C" w14:textId="77777777" w:rsidTr="008D0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ADA9EB8" w14:textId="77777777" w:rsidR="0088530C" w:rsidRPr="001C0D6D" w:rsidRDefault="0088530C" w:rsidP="008D0D6F">
            <w:pPr>
              <w:pStyle w:val="TableofAuthorities"/>
            </w:pPr>
            <w:r w:rsidRPr="001C0D6D">
              <w:tab/>
            </w:r>
            <w:r w:rsidRPr="001C0D6D">
              <w:tab/>
              <w:t>Version</w:t>
            </w:r>
          </w:p>
        </w:tc>
        <w:tc>
          <w:tcPr>
            <w:tcW w:w="1593" w:type="dxa"/>
          </w:tcPr>
          <w:p w14:paraId="3007F6B9" w14:textId="77777777" w:rsidR="0088530C" w:rsidRPr="001C0D6D" w:rsidRDefault="0088530C" w:rsidP="008D0D6F">
            <w:pPr>
              <w:pStyle w:val="TableofAuthorities"/>
              <w:cnfStyle w:val="100000000000" w:firstRow="1" w:lastRow="0" w:firstColumn="0" w:lastColumn="0" w:oddVBand="0" w:evenVBand="0" w:oddHBand="0" w:evenHBand="0" w:firstRowFirstColumn="0" w:firstRowLastColumn="0" w:lastRowFirstColumn="0" w:lastRowLastColumn="0"/>
            </w:pPr>
            <w:r w:rsidRPr="001C0D6D">
              <w:t>Date</w:t>
            </w:r>
          </w:p>
        </w:tc>
        <w:tc>
          <w:tcPr>
            <w:tcW w:w="3020" w:type="dxa"/>
          </w:tcPr>
          <w:p w14:paraId="3C90F70A" w14:textId="77777777" w:rsidR="0088530C" w:rsidRPr="001C0D6D" w:rsidRDefault="0088530C" w:rsidP="008D0D6F">
            <w:pPr>
              <w:pStyle w:val="TableofAuthorities"/>
              <w:cnfStyle w:val="100000000000" w:firstRow="1" w:lastRow="0" w:firstColumn="0" w:lastColumn="0" w:oddVBand="0" w:evenVBand="0" w:oddHBand="0" w:evenHBand="0" w:firstRowFirstColumn="0" w:firstRowLastColumn="0" w:lastRowFirstColumn="0" w:lastRowLastColumn="0"/>
            </w:pPr>
            <w:r w:rsidRPr="001C0D6D">
              <w:t>Description</w:t>
            </w:r>
          </w:p>
        </w:tc>
        <w:tc>
          <w:tcPr>
            <w:tcW w:w="2137" w:type="dxa"/>
          </w:tcPr>
          <w:p w14:paraId="206220B0" w14:textId="77777777" w:rsidR="0088530C" w:rsidRPr="001C0D6D" w:rsidRDefault="0088530C" w:rsidP="008D0D6F">
            <w:pPr>
              <w:pStyle w:val="TableofAuthorities"/>
              <w:cnfStyle w:val="100000000000" w:firstRow="1" w:lastRow="0" w:firstColumn="0" w:lastColumn="0" w:oddVBand="0" w:evenVBand="0" w:oddHBand="0" w:evenHBand="0" w:firstRowFirstColumn="0" w:firstRowLastColumn="0" w:lastRowFirstColumn="0" w:lastRowLastColumn="0"/>
            </w:pPr>
            <w:r w:rsidRPr="001C0D6D">
              <w:t>Name</w:t>
            </w:r>
          </w:p>
        </w:tc>
      </w:tr>
      <w:tr w:rsidR="0088530C" w:rsidRPr="001C0D6D" w14:paraId="731CB13C" w14:textId="77777777" w:rsidTr="008D0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610610F" w14:textId="27525B16" w:rsidR="0088530C" w:rsidRPr="001C0D6D" w:rsidRDefault="0088530C" w:rsidP="008D0D6F">
            <w:pPr>
              <w:pStyle w:val="TableofAuthorities"/>
            </w:pPr>
            <w:r w:rsidRPr="001C0D6D">
              <w:t xml:space="preserve">Revision </w:t>
            </w:r>
            <w:r w:rsidR="0032556B">
              <w:t>0.8</w:t>
            </w:r>
          </w:p>
        </w:tc>
        <w:tc>
          <w:tcPr>
            <w:tcW w:w="1593" w:type="dxa"/>
          </w:tcPr>
          <w:p w14:paraId="3D683B04" w14:textId="4FB71CAF" w:rsidR="0088530C" w:rsidRPr="001C0D6D" w:rsidRDefault="0032556B" w:rsidP="008D0D6F">
            <w:pPr>
              <w:pStyle w:val="TableofAuthorities"/>
              <w:ind w:left="0" w:firstLine="0"/>
              <w:cnfStyle w:val="000000100000" w:firstRow="0" w:lastRow="0" w:firstColumn="0" w:lastColumn="0" w:oddVBand="0" w:evenVBand="0" w:oddHBand="1" w:evenHBand="0" w:firstRowFirstColumn="0" w:firstRowLastColumn="0" w:lastRowFirstColumn="0" w:lastRowLastColumn="0"/>
            </w:pPr>
            <w:r>
              <w:t>02/22/2021</w:t>
            </w:r>
          </w:p>
        </w:tc>
        <w:tc>
          <w:tcPr>
            <w:tcW w:w="3020" w:type="dxa"/>
          </w:tcPr>
          <w:p w14:paraId="62ACD5A1" w14:textId="77777777" w:rsidR="0088530C" w:rsidRPr="001C0D6D" w:rsidRDefault="0088530C" w:rsidP="008D0D6F">
            <w:pPr>
              <w:pStyle w:val="TableofAuthorities"/>
              <w:cnfStyle w:val="000000100000" w:firstRow="0" w:lastRow="0" w:firstColumn="0" w:lastColumn="0" w:oddVBand="0" w:evenVBand="0" w:oddHBand="1" w:evenHBand="0" w:firstRowFirstColumn="0" w:firstRowLastColumn="0" w:lastRowFirstColumn="0" w:lastRowLastColumn="0"/>
            </w:pPr>
            <w:r w:rsidRPr="001C0D6D">
              <w:t>Initial Draft</w:t>
            </w:r>
          </w:p>
        </w:tc>
        <w:tc>
          <w:tcPr>
            <w:tcW w:w="2137" w:type="dxa"/>
          </w:tcPr>
          <w:p w14:paraId="1B8C5EC7" w14:textId="60A844D5" w:rsidR="0088530C" w:rsidRPr="001C0D6D" w:rsidRDefault="002C6EF1" w:rsidP="008D0D6F">
            <w:pPr>
              <w:pStyle w:val="TableofAuthorities"/>
              <w:cnfStyle w:val="000000100000" w:firstRow="0" w:lastRow="0" w:firstColumn="0" w:lastColumn="0" w:oddVBand="0" w:evenVBand="0" w:oddHBand="1" w:evenHBand="0" w:firstRowFirstColumn="0" w:firstRowLastColumn="0" w:lastRowFirstColumn="0" w:lastRowLastColumn="0"/>
            </w:pPr>
            <w:r>
              <w:t>James Mater</w:t>
            </w:r>
          </w:p>
        </w:tc>
      </w:tr>
      <w:tr w:rsidR="008577BA" w:rsidRPr="001C0D6D" w14:paraId="6A670AC1" w14:textId="77777777" w:rsidTr="008D0D6F">
        <w:tc>
          <w:tcPr>
            <w:cnfStyle w:val="001000000000" w:firstRow="0" w:lastRow="0" w:firstColumn="1" w:lastColumn="0" w:oddVBand="0" w:evenVBand="0" w:oddHBand="0" w:evenHBand="0" w:firstRowFirstColumn="0" w:firstRowLastColumn="0" w:lastRowFirstColumn="0" w:lastRowLastColumn="0"/>
            <w:tcW w:w="1890" w:type="dxa"/>
          </w:tcPr>
          <w:p w14:paraId="2EC84CCD" w14:textId="1958AF2B" w:rsidR="008577BA" w:rsidRPr="001C0D6D" w:rsidRDefault="008577BA" w:rsidP="008D0D6F">
            <w:pPr>
              <w:pStyle w:val="TableofAuthorities"/>
            </w:pPr>
          </w:p>
        </w:tc>
        <w:tc>
          <w:tcPr>
            <w:tcW w:w="1593" w:type="dxa"/>
          </w:tcPr>
          <w:p w14:paraId="55370DA4" w14:textId="25FDEC23" w:rsidR="008577BA" w:rsidRDefault="008577BA" w:rsidP="008D0D6F">
            <w:pPr>
              <w:pStyle w:val="TableofAuthorities"/>
              <w:cnfStyle w:val="000000000000" w:firstRow="0" w:lastRow="0" w:firstColumn="0" w:lastColumn="0" w:oddVBand="0" w:evenVBand="0" w:oddHBand="0" w:evenHBand="0" w:firstRowFirstColumn="0" w:firstRowLastColumn="0" w:lastRowFirstColumn="0" w:lastRowLastColumn="0"/>
            </w:pPr>
          </w:p>
        </w:tc>
        <w:tc>
          <w:tcPr>
            <w:tcW w:w="3020" w:type="dxa"/>
          </w:tcPr>
          <w:p w14:paraId="3C133D1F" w14:textId="3C6912AB" w:rsidR="008577BA" w:rsidRPr="001C0D6D" w:rsidRDefault="008577BA" w:rsidP="008D0D6F">
            <w:pPr>
              <w:pStyle w:val="TableofAuthorities"/>
              <w:cnfStyle w:val="000000000000" w:firstRow="0" w:lastRow="0" w:firstColumn="0" w:lastColumn="0" w:oddVBand="0" w:evenVBand="0" w:oddHBand="0" w:evenHBand="0" w:firstRowFirstColumn="0" w:firstRowLastColumn="0" w:lastRowFirstColumn="0" w:lastRowLastColumn="0"/>
            </w:pPr>
          </w:p>
        </w:tc>
        <w:tc>
          <w:tcPr>
            <w:tcW w:w="2137" w:type="dxa"/>
          </w:tcPr>
          <w:p w14:paraId="491CA15B" w14:textId="0367B3CB" w:rsidR="008577BA" w:rsidRPr="001C0D6D" w:rsidRDefault="008577BA" w:rsidP="008D0D6F">
            <w:pPr>
              <w:pStyle w:val="TableofAuthorities"/>
              <w:cnfStyle w:val="000000000000" w:firstRow="0" w:lastRow="0" w:firstColumn="0" w:lastColumn="0" w:oddVBand="0" w:evenVBand="0" w:oddHBand="0" w:evenHBand="0" w:firstRowFirstColumn="0" w:firstRowLastColumn="0" w:lastRowFirstColumn="0" w:lastRowLastColumn="0"/>
            </w:pPr>
          </w:p>
        </w:tc>
      </w:tr>
      <w:tr w:rsidR="008577BA" w:rsidRPr="001C0D6D" w14:paraId="606B04E2" w14:textId="77777777" w:rsidTr="008D0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E148122" w14:textId="4CA0EB3D" w:rsidR="008577BA" w:rsidRDefault="008577BA" w:rsidP="008D0D6F">
            <w:pPr>
              <w:pStyle w:val="TableofAuthorities"/>
            </w:pPr>
          </w:p>
        </w:tc>
        <w:tc>
          <w:tcPr>
            <w:tcW w:w="1593" w:type="dxa"/>
          </w:tcPr>
          <w:p w14:paraId="43AAA1DC" w14:textId="2641FD58" w:rsidR="008577BA" w:rsidRDefault="008577BA" w:rsidP="008D0D6F">
            <w:pPr>
              <w:pStyle w:val="TableofAuthorities"/>
              <w:cnfStyle w:val="000000100000" w:firstRow="0" w:lastRow="0" w:firstColumn="0" w:lastColumn="0" w:oddVBand="0" w:evenVBand="0" w:oddHBand="1" w:evenHBand="0" w:firstRowFirstColumn="0" w:firstRowLastColumn="0" w:lastRowFirstColumn="0" w:lastRowLastColumn="0"/>
            </w:pPr>
          </w:p>
        </w:tc>
        <w:tc>
          <w:tcPr>
            <w:tcW w:w="3020" w:type="dxa"/>
          </w:tcPr>
          <w:p w14:paraId="04104AB8" w14:textId="3A31DEED" w:rsidR="008577BA" w:rsidRDefault="008577BA" w:rsidP="008D0D6F">
            <w:pPr>
              <w:pStyle w:val="TableofAuthorities"/>
              <w:cnfStyle w:val="000000100000" w:firstRow="0" w:lastRow="0" w:firstColumn="0" w:lastColumn="0" w:oddVBand="0" w:evenVBand="0" w:oddHBand="1" w:evenHBand="0" w:firstRowFirstColumn="0" w:firstRowLastColumn="0" w:lastRowFirstColumn="0" w:lastRowLastColumn="0"/>
            </w:pPr>
          </w:p>
        </w:tc>
        <w:tc>
          <w:tcPr>
            <w:tcW w:w="2137" w:type="dxa"/>
          </w:tcPr>
          <w:p w14:paraId="000F2780" w14:textId="7A44BDCA" w:rsidR="008577BA" w:rsidRDefault="008577BA" w:rsidP="008D0D6F">
            <w:pPr>
              <w:pStyle w:val="TableofAuthorities"/>
              <w:cnfStyle w:val="000000100000" w:firstRow="0" w:lastRow="0" w:firstColumn="0" w:lastColumn="0" w:oddVBand="0" w:evenVBand="0" w:oddHBand="1" w:evenHBand="0" w:firstRowFirstColumn="0" w:firstRowLastColumn="0" w:lastRowFirstColumn="0" w:lastRowLastColumn="0"/>
            </w:pPr>
          </w:p>
        </w:tc>
      </w:tr>
    </w:tbl>
    <w:p w14:paraId="7204ABAE" w14:textId="77777777" w:rsidR="00E300CD" w:rsidRDefault="00E300CD" w:rsidP="00E300CD">
      <w:pPr>
        <w:pStyle w:val="BodyText"/>
        <w:rPr>
          <w:b/>
          <w:sz w:val="24"/>
        </w:rPr>
      </w:pPr>
    </w:p>
    <w:p w14:paraId="01F1DCE3" w14:textId="11728929" w:rsidR="00E300CD" w:rsidRPr="004A64F6" w:rsidRDefault="00E300CD" w:rsidP="00E300CD">
      <w:pPr>
        <w:pStyle w:val="BodyText"/>
        <w:rPr>
          <w:b/>
          <w:sz w:val="24"/>
        </w:rPr>
      </w:pPr>
      <w:r>
        <w:rPr>
          <w:b/>
          <w:sz w:val="24"/>
        </w:rPr>
        <w:t>Contact Information</w:t>
      </w:r>
    </w:p>
    <w:p w14:paraId="36B3AD03" w14:textId="7CFD1B02" w:rsidR="00E300CD" w:rsidRDefault="00E0447B" w:rsidP="00E300CD">
      <w:pPr>
        <w:pStyle w:val="BodyText"/>
        <w:rPr>
          <w:b/>
        </w:rPr>
      </w:pPr>
      <w:r>
        <w:rPr>
          <w:b/>
        </w:rPr>
        <w:t>James Mater</w:t>
      </w:r>
    </w:p>
    <w:p w14:paraId="3E5596CF" w14:textId="150225AD" w:rsidR="002F75F9" w:rsidRPr="00E0447B" w:rsidRDefault="00E300CD" w:rsidP="00E0447B">
      <w:pPr>
        <w:pStyle w:val="BodyText"/>
        <w:rPr>
          <w:b/>
        </w:rPr>
      </w:pPr>
      <w:r w:rsidRPr="001C0EA0">
        <w:t xml:space="preserve">Email </w:t>
      </w:r>
      <w:r w:rsidRPr="001C0EA0">
        <w:tab/>
      </w:r>
      <w:hyperlink r:id="rId12" w:history="1"/>
      <w:r>
        <w:t xml:space="preserve"> </w:t>
      </w:r>
      <w:hyperlink r:id="rId13" w:history="1">
        <w:r w:rsidR="002C6EF1" w:rsidRPr="0024605B">
          <w:rPr>
            <w:rStyle w:val="Hyperlink"/>
          </w:rPr>
          <w:t>jmater@qualitylogic.com</w:t>
        </w:r>
      </w:hyperlink>
      <w:r>
        <w:t xml:space="preserve"> </w:t>
      </w:r>
      <w:r>
        <w:br/>
        <w:t xml:space="preserve">Phone </w:t>
      </w:r>
      <w:r>
        <w:tab/>
      </w:r>
      <w:r w:rsidR="002C6EF1">
        <w:t>503-780-9796</w:t>
      </w:r>
      <w:r w:rsidRPr="001C0EA0">
        <w:br/>
        <w:t>Fax</w:t>
      </w:r>
      <w:r w:rsidRPr="001C0EA0">
        <w:tab/>
      </w:r>
      <w:r>
        <w:t>805 531 9045</w:t>
      </w:r>
      <w:r w:rsidR="002F75F9">
        <w:br w:type="page"/>
      </w:r>
    </w:p>
    <w:p w14:paraId="1919BB4E" w14:textId="7A182191" w:rsidR="002C6EF1" w:rsidRPr="00B844AC" w:rsidRDefault="00B33751" w:rsidP="002C6EF1">
      <w:pPr>
        <w:pStyle w:val="Heading1"/>
      </w:pPr>
      <w:bookmarkStart w:id="2" w:name="_Toc64988000"/>
      <w:r>
        <w:lastRenderedPageBreak/>
        <w:t>The Need for DER Protocols Information</w:t>
      </w:r>
      <w:bookmarkEnd w:id="2"/>
    </w:p>
    <w:p w14:paraId="33AB2AEA" w14:textId="65CF9B14" w:rsidR="002C6EF1" w:rsidRDefault="002C6EF1" w:rsidP="002C6EF1">
      <w:bookmarkStart w:id="3" w:name="_Hlk32591300"/>
      <w:r>
        <w:t xml:space="preserve">The electrical grid transformation that is in process is, if anything, increasing in speed, with innovation and DER deployments increasing </w:t>
      </w:r>
      <w:r w:rsidR="00AF0A4B">
        <w:t xml:space="preserve">in </w:t>
      </w:r>
      <w:r>
        <w:t>number, diversity and geographic breadth.  One of the most critical factors in this transformation is solving the interoperability challenge that is historically part of the industry DNA.</w:t>
      </w:r>
    </w:p>
    <w:p w14:paraId="489A3251" w14:textId="14A830B0" w:rsidR="002C6EF1" w:rsidRDefault="002C6EF1" w:rsidP="002C6EF1">
      <w:r>
        <w:t xml:space="preserve">The incorporation of grid edge components – e.g., </w:t>
      </w:r>
      <w:r w:rsidR="00FB435B">
        <w:t xml:space="preserve">generation </w:t>
      </w:r>
      <w:r>
        <w:t>devices and loads, DERs – leave</w:t>
      </w:r>
      <w:r w:rsidR="00F62961">
        <w:t>s</w:t>
      </w:r>
      <w:r>
        <w:t xml:space="preserve"> the industry no choice but to solve the interoperability problem because of the </w:t>
      </w:r>
      <w:r w:rsidR="00AF0A4B">
        <w:t>size</w:t>
      </w:r>
      <w:r>
        <w:t xml:space="preserve"> and scale of the interoperability challenge.   The industry is stepping up to the problem in a typically chaotic and point solution way.  The efforts consist of different interest groups (utilities, vendors, regulator is, researchers, </w:t>
      </w:r>
      <w:proofErr w:type="spellStart"/>
      <w:r>
        <w:t>etc</w:t>
      </w:r>
      <w:proofErr w:type="spellEnd"/>
      <w:r>
        <w:t xml:space="preserve">), solving different aspects of </w:t>
      </w:r>
      <w:r w:rsidR="00F02A4D">
        <w:t xml:space="preserve">DER </w:t>
      </w:r>
      <w:r>
        <w:t>interoperability in an uncoordinated way</w:t>
      </w:r>
      <w:r w:rsidR="0032655C">
        <w:t xml:space="preserve"> while some Regulators and Governments attempt to standardize the effort.</w:t>
      </w:r>
      <w:r>
        <w:t xml:space="preserve">  </w:t>
      </w:r>
    </w:p>
    <w:bookmarkEnd w:id="3"/>
    <w:p w14:paraId="62C923D2" w14:textId="3AB23E8F" w:rsidR="009C0FB1" w:rsidRDefault="009C0FB1" w:rsidP="002C6EF1">
      <w:pPr>
        <w:rPr>
          <w:rFonts w:asciiTheme="minorHAnsi" w:hAnsiTheme="minorHAnsi" w:cstheme="minorHAnsi"/>
          <w:bCs/>
          <w:iCs/>
        </w:rPr>
      </w:pPr>
      <w:r>
        <w:rPr>
          <w:rFonts w:asciiTheme="minorHAnsi" w:hAnsiTheme="minorHAnsi" w:cstheme="minorHAnsi"/>
          <w:bCs/>
          <w:iCs/>
        </w:rPr>
        <w:t xml:space="preserve">During the months of March and April, 2020, </w:t>
      </w:r>
      <w:proofErr w:type="spellStart"/>
      <w:r>
        <w:rPr>
          <w:rFonts w:asciiTheme="minorHAnsi" w:hAnsiTheme="minorHAnsi" w:cstheme="minorHAnsi"/>
          <w:bCs/>
          <w:iCs/>
        </w:rPr>
        <w:t>QualityLogic</w:t>
      </w:r>
      <w:proofErr w:type="spellEnd"/>
      <w:r>
        <w:rPr>
          <w:rFonts w:asciiTheme="minorHAnsi" w:hAnsiTheme="minorHAnsi" w:cstheme="minorHAnsi"/>
          <w:bCs/>
          <w:iCs/>
        </w:rPr>
        <w:t xml:space="preserve"> conducted a market survey to assess:</w:t>
      </w:r>
    </w:p>
    <w:p w14:paraId="197DA7B4" w14:textId="2C806B69" w:rsidR="009C0FB1" w:rsidRDefault="009C0FB1" w:rsidP="00791525">
      <w:pPr>
        <w:pStyle w:val="ListParagraph"/>
        <w:numPr>
          <w:ilvl w:val="0"/>
          <w:numId w:val="11"/>
        </w:numPr>
        <w:rPr>
          <w:rFonts w:asciiTheme="minorHAnsi" w:hAnsiTheme="minorHAnsi" w:cstheme="minorHAnsi"/>
          <w:bCs/>
          <w:iCs/>
        </w:rPr>
      </w:pPr>
      <w:r>
        <w:rPr>
          <w:rFonts w:asciiTheme="minorHAnsi" w:hAnsiTheme="minorHAnsi" w:cstheme="minorHAnsi"/>
          <w:bCs/>
          <w:iCs/>
        </w:rPr>
        <w:t xml:space="preserve">Interest in the DER Protocols </w:t>
      </w:r>
      <w:r w:rsidR="00190F4E">
        <w:rPr>
          <w:rFonts w:asciiTheme="minorHAnsi" w:hAnsiTheme="minorHAnsi" w:cstheme="minorHAnsi"/>
          <w:bCs/>
          <w:iCs/>
        </w:rPr>
        <w:t>information</w:t>
      </w:r>
    </w:p>
    <w:p w14:paraId="40ADECFF" w14:textId="726AA4D4" w:rsidR="009C0FB1" w:rsidRDefault="009C0FB1" w:rsidP="00791525">
      <w:pPr>
        <w:pStyle w:val="ListParagraph"/>
        <w:numPr>
          <w:ilvl w:val="0"/>
          <w:numId w:val="11"/>
        </w:numPr>
        <w:rPr>
          <w:rFonts w:asciiTheme="minorHAnsi" w:hAnsiTheme="minorHAnsi" w:cstheme="minorHAnsi"/>
          <w:bCs/>
          <w:iCs/>
        </w:rPr>
      </w:pPr>
      <w:r>
        <w:rPr>
          <w:rFonts w:asciiTheme="minorHAnsi" w:hAnsiTheme="minorHAnsi" w:cstheme="minorHAnsi"/>
          <w:bCs/>
          <w:iCs/>
        </w:rPr>
        <w:t xml:space="preserve">Understand the most important information that </w:t>
      </w:r>
      <w:r w:rsidR="00935246">
        <w:rPr>
          <w:rFonts w:asciiTheme="minorHAnsi" w:hAnsiTheme="minorHAnsi" w:cstheme="minorHAnsi"/>
          <w:bCs/>
          <w:iCs/>
        </w:rPr>
        <w:t xml:space="preserve">industry participants require, and </w:t>
      </w:r>
    </w:p>
    <w:p w14:paraId="5273AC46" w14:textId="3FCCAE76" w:rsidR="009C0FB1" w:rsidRDefault="00935246" w:rsidP="00791525">
      <w:pPr>
        <w:pStyle w:val="ListParagraph"/>
        <w:numPr>
          <w:ilvl w:val="0"/>
          <w:numId w:val="11"/>
        </w:numPr>
        <w:rPr>
          <w:rFonts w:asciiTheme="minorHAnsi" w:hAnsiTheme="minorHAnsi" w:cstheme="minorHAnsi"/>
          <w:bCs/>
          <w:iCs/>
        </w:rPr>
      </w:pPr>
      <w:r>
        <w:rPr>
          <w:rFonts w:asciiTheme="minorHAnsi" w:hAnsiTheme="minorHAnsi" w:cstheme="minorHAnsi"/>
          <w:bCs/>
          <w:iCs/>
        </w:rPr>
        <w:t>Understand the p</w:t>
      </w:r>
      <w:r w:rsidR="009C0FB1">
        <w:rPr>
          <w:rFonts w:asciiTheme="minorHAnsi" w:hAnsiTheme="minorHAnsi" w:cstheme="minorHAnsi"/>
          <w:bCs/>
          <w:iCs/>
        </w:rPr>
        <w:t>rioritiz</w:t>
      </w:r>
      <w:r>
        <w:rPr>
          <w:rFonts w:asciiTheme="minorHAnsi" w:hAnsiTheme="minorHAnsi" w:cstheme="minorHAnsi"/>
          <w:bCs/>
          <w:iCs/>
        </w:rPr>
        <w:t>ation of</w:t>
      </w:r>
      <w:r w:rsidR="009C0FB1">
        <w:rPr>
          <w:rFonts w:asciiTheme="minorHAnsi" w:hAnsiTheme="minorHAnsi" w:cstheme="minorHAnsi"/>
          <w:bCs/>
          <w:iCs/>
        </w:rPr>
        <w:t xml:space="preserve"> the specific standards </w:t>
      </w:r>
    </w:p>
    <w:p w14:paraId="152DBB00" w14:textId="1966A3AB" w:rsidR="009C0FB1" w:rsidRPr="00CC4351" w:rsidRDefault="009C0FB1" w:rsidP="009C0FB1">
      <w:pPr>
        <w:rPr>
          <w:rFonts w:eastAsia="Times New Roman"/>
        </w:rPr>
      </w:pPr>
      <w:r w:rsidRPr="00CC4351">
        <w:rPr>
          <w:rFonts w:eastAsia="Times New Roman"/>
        </w:rPr>
        <w:t>68 people from our mailing list of about 1500 responded and the responses to our questions suggest that:</w:t>
      </w:r>
    </w:p>
    <w:p w14:paraId="3AC92E0B" w14:textId="4BB7047E" w:rsidR="009C0FB1" w:rsidRPr="00CC4351" w:rsidRDefault="003C2546" w:rsidP="00791525">
      <w:pPr>
        <w:numPr>
          <w:ilvl w:val="0"/>
          <w:numId w:val="12"/>
        </w:numPr>
        <w:spacing w:before="100" w:beforeAutospacing="1" w:after="100" w:afterAutospacing="1" w:line="240" w:lineRule="auto"/>
        <w:rPr>
          <w:rFonts w:eastAsia="Times New Roman"/>
        </w:rPr>
      </w:pPr>
      <w:r>
        <w:rPr>
          <w:rFonts w:eastAsia="Times New Roman"/>
        </w:rPr>
        <w:t xml:space="preserve">There is definite interest in being able to more easily find information on </w:t>
      </w:r>
      <w:r w:rsidR="00397399">
        <w:rPr>
          <w:rFonts w:eastAsia="Times New Roman"/>
        </w:rPr>
        <w:t>standard communication protocols for DER integration into grid operations</w:t>
      </w:r>
      <w:r w:rsidR="009C0FB1" w:rsidRPr="00CC4351">
        <w:rPr>
          <w:rFonts w:eastAsia="Times New Roman"/>
        </w:rPr>
        <w:t>.</w:t>
      </w:r>
    </w:p>
    <w:p w14:paraId="52F837A2" w14:textId="5038C79C" w:rsidR="009C0FB1" w:rsidRDefault="00FB085B" w:rsidP="00791525">
      <w:pPr>
        <w:numPr>
          <w:ilvl w:val="0"/>
          <w:numId w:val="12"/>
        </w:numPr>
        <w:spacing w:before="100" w:beforeAutospacing="1" w:after="100" w:afterAutospacing="1" w:line="240" w:lineRule="auto"/>
        <w:rPr>
          <w:rFonts w:eastAsia="Times New Roman"/>
        </w:rPr>
      </w:pPr>
      <w:r>
        <w:rPr>
          <w:rFonts w:eastAsia="Times New Roman"/>
        </w:rPr>
        <w:t xml:space="preserve">The source of information for most people is vendors, followed by </w:t>
      </w:r>
      <w:r w:rsidR="008353A9">
        <w:rPr>
          <w:rFonts w:eastAsia="Times New Roman"/>
        </w:rPr>
        <w:t>EPRI, Standards Alliances and consultants.   But no dominant source was identified</w:t>
      </w:r>
      <w:r w:rsidR="009C0FB1" w:rsidRPr="00CC4351">
        <w:rPr>
          <w:rFonts w:eastAsia="Times New Roman"/>
        </w:rPr>
        <w:t>.</w:t>
      </w:r>
    </w:p>
    <w:p w14:paraId="2D4E904D" w14:textId="734C55CB" w:rsidR="008353A9" w:rsidRDefault="008353A9" w:rsidP="00791525">
      <w:pPr>
        <w:numPr>
          <w:ilvl w:val="0"/>
          <w:numId w:val="12"/>
        </w:numPr>
        <w:spacing w:before="100" w:beforeAutospacing="1" w:after="100" w:afterAutospacing="1" w:line="240" w:lineRule="auto"/>
        <w:rPr>
          <w:rFonts w:eastAsia="Times New Roman"/>
        </w:rPr>
      </w:pPr>
      <w:r>
        <w:rPr>
          <w:rFonts w:eastAsia="Times New Roman"/>
        </w:rPr>
        <w:t xml:space="preserve">The </w:t>
      </w:r>
      <w:r w:rsidR="00AF5BDC">
        <w:rPr>
          <w:rFonts w:eastAsia="Times New Roman"/>
        </w:rPr>
        <w:t xml:space="preserve">protocols of most interest include IEEE 2030.5, OpenADR, </w:t>
      </w:r>
      <w:r w:rsidR="00FE2A98">
        <w:rPr>
          <w:rFonts w:eastAsia="Times New Roman"/>
        </w:rPr>
        <w:t xml:space="preserve">IEC 61850, IEEE 1547 (also UL 1741), </w:t>
      </w:r>
      <w:proofErr w:type="spellStart"/>
      <w:r w:rsidR="00FE2A98">
        <w:rPr>
          <w:rFonts w:eastAsia="Times New Roman"/>
        </w:rPr>
        <w:t>SunSpec</w:t>
      </w:r>
      <w:proofErr w:type="spellEnd"/>
      <w:r w:rsidR="00FE2A98">
        <w:rPr>
          <w:rFonts w:eastAsia="Times New Roman"/>
        </w:rPr>
        <w:t xml:space="preserve"> Modbus and DNP3</w:t>
      </w:r>
      <w:r w:rsidR="000754C0">
        <w:rPr>
          <w:rFonts w:eastAsia="Times New Roman"/>
        </w:rPr>
        <w:t>.</w:t>
      </w:r>
    </w:p>
    <w:p w14:paraId="52843C50" w14:textId="54609D19" w:rsidR="000754C0" w:rsidRPr="00CC4351" w:rsidRDefault="000754C0" w:rsidP="00791525">
      <w:pPr>
        <w:numPr>
          <w:ilvl w:val="0"/>
          <w:numId w:val="12"/>
        </w:numPr>
        <w:spacing w:before="100" w:beforeAutospacing="1" w:after="100" w:afterAutospacing="1" w:line="240" w:lineRule="auto"/>
        <w:rPr>
          <w:rFonts w:eastAsia="Times New Roman"/>
        </w:rPr>
      </w:pPr>
      <w:r>
        <w:rPr>
          <w:rFonts w:eastAsia="Times New Roman"/>
        </w:rPr>
        <w:t>Respondents wanted information on the protocol</w:t>
      </w:r>
      <w:r w:rsidR="006A3574">
        <w:rPr>
          <w:rFonts w:eastAsia="Times New Roman"/>
        </w:rPr>
        <w:t>s (descriptions), adoption, status, education and training</w:t>
      </w:r>
      <w:r w:rsidR="006B7233">
        <w:rPr>
          <w:rFonts w:eastAsia="Times New Roman"/>
        </w:rPr>
        <w:t xml:space="preserve"> and other attributes of a standard and its eco-system.  </w:t>
      </w:r>
    </w:p>
    <w:p w14:paraId="3B6FA890" w14:textId="77777777" w:rsidR="002C6EF1" w:rsidRPr="009C7972" w:rsidRDefault="002C6EF1" w:rsidP="002C6EF1">
      <w:pPr>
        <w:pStyle w:val="Heading1"/>
      </w:pPr>
      <w:bookmarkStart w:id="4" w:name="_Toc32247505"/>
      <w:bookmarkStart w:id="5" w:name="_Toc64988001"/>
      <w:r w:rsidRPr="009C7972">
        <w:t>Current Information on Standards</w:t>
      </w:r>
      <w:bookmarkEnd w:id="4"/>
      <w:bookmarkEnd w:id="5"/>
    </w:p>
    <w:p w14:paraId="7AF8EDB8" w14:textId="77777777" w:rsidR="002C6EF1" w:rsidRDefault="002C6EF1" w:rsidP="002C6EF1">
      <w:r>
        <w:t xml:space="preserve">The information on DER standards available to those who need it comes in varying forms and accuracy.  </w:t>
      </w:r>
    </w:p>
    <w:p w14:paraId="3AC4A348" w14:textId="176F0104" w:rsidR="002C6EF1" w:rsidRDefault="002C6EF1" w:rsidP="002C6EF1">
      <w:r>
        <w:t>The most useful is directly from a</w:t>
      </w:r>
      <w:r w:rsidR="006B7233">
        <w:t>n</w:t>
      </w:r>
      <w:r>
        <w:t xml:space="preserve"> Interoperability Test </w:t>
      </w:r>
      <w:r w:rsidR="00AF0A4B">
        <w:t xml:space="preserve">and </w:t>
      </w:r>
      <w:r>
        <w:t xml:space="preserve">Certification Authority (ITCA) such as the </w:t>
      </w:r>
      <w:proofErr w:type="spellStart"/>
      <w:r>
        <w:t>UCAiug</w:t>
      </w:r>
      <w:proofErr w:type="spellEnd"/>
      <w:r>
        <w:t xml:space="preserve"> (IEC 61850, </w:t>
      </w:r>
      <w:proofErr w:type="spellStart"/>
      <w:r>
        <w:t>OpenFMB</w:t>
      </w:r>
      <w:proofErr w:type="spellEnd"/>
      <w:r>
        <w:t>), the DNP3 User’s Group, the OpenADR Alliance, etc.  Each provides information o</w:t>
      </w:r>
      <w:r w:rsidR="00AF0A4B">
        <w:t>n</w:t>
      </w:r>
      <w:r>
        <w:t xml:space="preserve"> the standard itself, the testing and certification programs, certified products and future plans.  But the form of the information</w:t>
      </w:r>
      <w:r w:rsidR="00AF0A4B">
        <w:t xml:space="preserve"> and</w:t>
      </w:r>
      <w:r>
        <w:t xml:space="preserve"> it’s timeliness, etc., vary from ITCA to ITCA.  And most importantly, the information typically does NOT include an objective comparison to other standards or evaluation of the quality of the testing and certification program it operates.</w:t>
      </w:r>
      <w:r w:rsidR="00223A67">
        <w:t xml:space="preserve">  Finding insights on </w:t>
      </w:r>
      <w:r w:rsidR="00B928B9">
        <w:t>potential implementation pitfalls is particularly difficult.</w:t>
      </w:r>
    </w:p>
    <w:p w14:paraId="24B8C950" w14:textId="5869F3B0" w:rsidR="002C6EF1" w:rsidRDefault="002C6EF1" w:rsidP="002C6EF1">
      <w:r>
        <w:lastRenderedPageBreak/>
        <w:t xml:space="preserve">For a utility, regulator, vendor or researcher to gain a </w:t>
      </w:r>
      <w:r w:rsidR="00AF0A4B">
        <w:t xml:space="preserve">potentially </w:t>
      </w:r>
      <w:r>
        <w:t>useful overview of the currently available standards for DER communications, the sources he/she would need to consult include:</w:t>
      </w:r>
    </w:p>
    <w:p w14:paraId="600FD8D4" w14:textId="3D0F519A" w:rsidR="002C6EF1" w:rsidRDefault="002C6EF1" w:rsidP="00791525">
      <w:pPr>
        <w:pStyle w:val="ListParagraph"/>
        <w:numPr>
          <w:ilvl w:val="0"/>
          <w:numId w:val="6"/>
        </w:numPr>
      </w:pPr>
      <w:r w:rsidRPr="009C7972">
        <w:rPr>
          <w:b/>
          <w:bCs/>
        </w:rPr>
        <w:t>Standards Development Organizations (SDOs)</w:t>
      </w:r>
      <w:r>
        <w:t xml:space="preserve"> such as IEEE, ISO, IEC, </w:t>
      </w:r>
      <w:proofErr w:type="spellStart"/>
      <w:r>
        <w:t>SunSpec</w:t>
      </w:r>
      <w:proofErr w:type="spellEnd"/>
      <w:r>
        <w:t>, UL, etc.  SDO’s may or may not operate an ITCA for a specific standard and typically do not.</w:t>
      </w:r>
    </w:p>
    <w:p w14:paraId="5AFE23E4" w14:textId="13C1C30B" w:rsidR="002C6EF1" w:rsidRDefault="002C6EF1" w:rsidP="00791525">
      <w:pPr>
        <w:pStyle w:val="ListParagraph"/>
        <w:numPr>
          <w:ilvl w:val="0"/>
          <w:numId w:val="6"/>
        </w:numPr>
      </w:pPr>
      <w:r w:rsidRPr="00C0200F">
        <w:rPr>
          <w:b/>
          <w:bCs/>
        </w:rPr>
        <w:t>ITCAs</w:t>
      </w:r>
      <w:r>
        <w:t xml:space="preserve"> for specific standards such as the </w:t>
      </w:r>
      <w:proofErr w:type="spellStart"/>
      <w:r>
        <w:t>UCAiug</w:t>
      </w:r>
      <w:proofErr w:type="spellEnd"/>
      <w:r>
        <w:t xml:space="preserve"> (IEC 61850, </w:t>
      </w:r>
      <w:proofErr w:type="spellStart"/>
      <w:r>
        <w:t>OpenFMB</w:t>
      </w:r>
      <w:proofErr w:type="spellEnd"/>
      <w:r>
        <w:t xml:space="preserve">), the DNP3 User’s Group, the OpenADR Alliance, etc.  The information could be conflicting.  For instance, </w:t>
      </w:r>
      <w:proofErr w:type="spellStart"/>
      <w:r>
        <w:t>SunSpec</w:t>
      </w:r>
      <w:proofErr w:type="spellEnd"/>
      <w:r>
        <w:t>, OpenADR and UCA all operate certification programs for DER messaging protocols with differing use case</w:t>
      </w:r>
      <w:r w:rsidR="00AF0A4B">
        <w:t>s</w:t>
      </w:r>
      <w:r w:rsidR="00540EFE">
        <w:t xml:space="preserve">, </w:t>
      </w:r>
      <w:r>
        <w:t>architectural models</w:t>
      </w:r>
      <w:r w:rsidR="00540EFE">
        <w:t xml:space="preserve"> and quality</w:t>
      </w:r>
      <w:r>
        <w:t>.</w:t>
      </w:r>
    </w:p>
    <w:p w14:paraId="7CA2B87D" w14:textId="14B43AF0" w:rsidR="00E259A4" w:rsidRPr="00E259A4" w:rsidRDefault="0053156A" w:rsidP="0053156A">
      <w:pPr>
        <w:pStyle w:val="ListParagraph"/>
        <w:numPr>
          <w:ilvl w:val="0"/>
          <w:numId w:val="6"/>
        </w:numPr>
      </w:pPr>
      <w:r w:rsidRPr="00F63B0B">
        <w:rPr>
          <w:b/>
          <w:bCs/>
        </w:rPr>
        <w:t>EPRI</w:t>
      </w:r>
      <w:r>
        <w:t xml:space="preserve"> publishes for members </w:t>
      </w:r>
      <w:r w:rsidRPr="0053156A">
        <w:rPr>
          <w:rFonts w:asciiTheme="minorHAnsi" w:hAnsiTheme="minorHAnsi" w:cstheme="minorHAnsi"/>
        </w:rPr>
        <w:t xml:space="preserve">a </w:t>
      </w:r>
      <w:hyperlink r:id="rId14" w:history="1">
        <w:r w:rsidRPr="008A2F2B">
          <w:rPr>
            <w:rStyle w:val="Hyperlink"/>
            <w:rFonts w:asciiTheme="minorHAnsi" w:eastAsia="Times New Roman" w:hAnsiTheme="minorHAnsi" w:cstheme="minorHAnsi"/>
            <w:i/>
            <w:iCs/>
            <w:spacing w:val="2"/>
          </w:rPr>
          <w:t>DER Protocol Reference Guide—4th Edition </w:t>
        </w:r>
        <w:r w:rsidRPr="008A2F2B">
          <w:rPr>
            <w:rStyle w:val="Hyperlink"/>
            <w:rFonts w:asciiTheme="minorHAnsi" w:eastAsia="Times New Roman" w:hAnsiTheme="minorHAnsi" w:cstheme="minorHAnsi"/>
            <w:spacing w:val="2"/>
          </w:rPr>
          <w:t>(3002018544)</w:t>
        </w:r>
      </w:hyperlink>
      <w:r w:rsidRPr="0053156A">
        <w:rPr>
          <w:rFonts w:asciiTheme="minorHAnsi" w:eastAsia="Times New Roman" w:hAnsiTheme="minorHAnsi" w:cstheme="minorHAnsi"/>
          <w:color w:val="auto"/>
          <w:spacing w:val="2"/>
        </w:rPr>
        <w:t xml:space="preserve"> </w:t>
      </w:r>
      <w:r w:rsidR="00F63B0B" w:rsidRPr="003007DA">
        <w:rPr>
          <w:rFonts w:asciiTheme="minorHAnsi" w:eastAsia="Times New Roman" w:hAnsiTheme="minorHAnsi" w:cstheme="minorHAnsi"/>
          <w:spacing w:val="2"/>
        </w:rPr>
        <w:t xml:space="preserve">that </w:t>
      </w:r>
      <w:r w:rsidRPr="003007DA">
        <w:rPr>
          <w:rFonts w:asciiTheme="minorHAnsi" w:eastAsia="Times New Roman" w:hAnsiTheme="minorHAnsi" w:cstheme="minorHAnsi"/>
          <w:spacing w:val="2"/>
        </w:rPr>
        <w:t>provides a concise digest of communications protocols for DER/demand response (DR)—from maturity to the current state to potential applications.</w:t>
      </w:r>
      <w:r w:rsidR="008A2F2B" w:rsidRPr="003007DA">
        <w:rPr>
          <w:rFonts w:asciiTheme="minorHAnsi" w:eastAsia="Times New Roman" w:hAnsiTheme="minorHAnsi" w:cstheme="minorHAnsi"/>
          <w:spacing w:val="2"/>
        </w:rPr>
        <w:t xml:space="preserve">  It was updated in December of 2020</w:t>
      </w:r>
      <w:r w:rsidR="007F7454" w:rsidRPr="003007DA">
        <w:rPr>
          <w:rFonts w:asciiTheme="minorHAnsi" w:eastAsia="Times New Roman" w:hAnsiTheme="minorHAnsi" w:cstheme="minorHAnsi"/>
          <w:spacing w:val="2"/>
        </w:rPr>
        <w:t xml:space="preserve"> but is available free only to specific funding members of the project.   For others, the price is $25,000.</w:t>
      </w:r>
    </w:p>
    <w:p w14:paraId="62B3CABA" w14:textId="414B30FA" w:rsidR="002C6EF1" w:rsidRDefault="002C6EF1" w:rsidP="00791525">
      <w:pPr>
        <w:pStyle w:val="ListParagraph"/>
        <w:numPr>
          <w:ilvl w:val="0"/>
          <w:numId w:val="6"/>
        </w:numPr>
      </w:pPr>
      <w:r>
        <w:rPr>
          <w:b/>
          <w:bCs/>
        </w:rPr>
        <w:t xml:space="preserve">Vendors and Consultants </w:t>
      </w:r>
      <w:r>
        <w:t>are only too eager to explain how to address a</w:t>
      </w:r>
      <w:r w:rsidR="00AF0A4B">
        <w:t xml:space="preserve"> DER</w:t>
      </w:r>
      <w:r>
        <w:t xml:space="preserve"> application</w:t>
      </w:r>
      <w:r w:rsidR="00AF0A4B">
        <w:t xml:space="preserve"> with varying degrees of expertise and interests</w:t>
      </w:r>
      <w:r>
        <w:t>.  Vendors can provide proprietary solutions while consultants can do the work of evaluating the application and applicable standards and recommending an approach.  In both cases, the user either accepts the recommendations or must invest effort to validate them.  In most cases, utility and regulator staff are ill equipped to find, evaluate and second guess vendors and consultants.</w:t>
      </w:r>
    </w:p>
    <w:p w14:paraId="267526CD" w14:textId="6BAD356B" w:rsidR="002C6EF1" w:rsidRDefault="002C6EF1" w:rsidP="00791525">
      <w:pPr>
        <w:pStyle w:val="ListParagraph"/>
        <w:numPr>
          <w:ilvl w:val="0"/>
          <w:numId w:val="6"/>
        </w:numPr>
        <w:rPr>
          <w:rFonts w:cstheme="minorHAnsi"/>
        </w:rPr>
      </w:pPr>
      <w:r>
        <w:rPr>
          <w:b/>
          <w:bCs/>
        </w:rPr>
        <w:t xml:space="preserve">Smart Electric Power Alliance (SEPA) </w:t>
      </w:r>
      <w:hyperlink r:id="rId15" w:history="1">
        <w:r w:rsidRPr="00F47F7B">
          <w:rPr>
            <w:rStyle w:val="Hyperlink"/>
          </w:rPr>
          <w:t>Catalogue of Standards</w:t>
        </w:r>
      </w:hyperlink>
      <w:r>
        <w:t xml:space="preserve">.   </w:t>
      </w:r>
      <w:r w:rsidRPr="00F47F7B">
        <w:rPr>
          <w:rFonts w:asciiTheme="minorHAnsi" w:hAnsiTheme="minorHAnsi" w:cstheme="minorHAnsi"/>
        </w:rPr>
        <w:t xml:space="preserve">The </w:t>
      </w:r>
      <w:proofErr w:type="spellStart"/>
      <w:r w:rsidRPr="00F47F7B">
        <w:rPr>
          <w:rFonts w:asciiTheme="minorHAnsi" w:hAnsiTheme="minorHAnsi" w:cstheme="minorHAnsi"/>
        </w:rPr>
        <w:t>CoS</w:t>
      </w:r>
      <w:proofErr w:type="spellEnd"/>
      <w:r w:rsidRPr="00F47F7B">
        <w:rPr>
          <w:rFonts w:asciiTheme="minorHAnsi" w:hAnsiTheme="minorHAnsi" w:cstheme="minorHAnsi"/>
        </w:rPr>
        <w:t xml:space="preserve"> contains hundreds of standards for all the </w:t>
      </w:r>
      <w:r w:rsidRPr="00F47F7B">
        <w:rPr>
          <w:rFonts w:asciiTheme="minorHAnsi" w:hAnsiTheme="minorHAnsi" w:cstheme="minorHAnsi"/>
          <w:color w:val="4F4F4F"/>
          <w:shd w:val="clear" w:color="auto" w:fill="FFFFFF"/>
        </w:rPr>
        <w:t xml:space="preserve">conceptual domains as described in the </w:t>
      </w:r>
      <w:hyperlink r:id="rId16" w:history="1">
        <w:r w:rsidRPr="00A27738">
          <w:rPr>
            <w:rStyle w:val="Hyperlink"/>
            <w:rFonts w:asciiTheme="minorHAnsi" w:hAnsiTheme="minorHAnsi" w:cstheme="minorHAnsi"/>
          </w:rPr>
          <w:t xml:space="preserve">NIST Framework and Roadmap for Smart Grid Interoperability Standards, Release </w:t>
        </w:r>
        <w:r w:rsidR="00C910D3" w:rsidRPr="00A27738">
          <w:rPr>
            <w:rStyle w:val="Hyperlink"/>
            <w:rFonts w:asciiTheme="minorHAnsi" w:hAnsiTheme="minorHAnsi" w:cstheme="minorHAnsi"/>
          </w:rPr>
          <w:t>4</w:t>
        </w:r>
        <w:r w:rsidRPr="00A27738">
          <w:rPr>
            <w:rStyle w:val="Hyperlink"/>
            <w:rFonts w:asciiTheme="minorHAnsi" w:hAnsiTheme="minorHAnsi" w:cstheme="minorHAnsi"/>
          </w:rPr>
          <w:t>.0</w:t>
        </w:r>
      </w:hyperlink>
      <w:r w:rsidRPr="00A27738">
        <w:rPr>
          <w:rFonts w:asciiTheme="minorHAnsi" w:hAnsiTheme="minorHAnsi" w:cstheme="minorHAnsi"/>
        </w:rPr>
        <w:t>.</w:t>
      </w:r>
      <w:r>
        <w:rPr>
          <w:rFonts w:cstheme="minorHAnsi"/>
        </w:rPr>
        <w:t xml:space="preserve">  It is comprehensive – e.g., it list</w:t>
      </w:r>
      <w:r w:rsidR="00AF0A4B">
        <w:rPr>
          <w:rFonts w:cstheme="minorHAnsi"/>
        </w:rPr>
        <w:t>s</w:t>
      </w:r>
      <w:r>
        <w:rPr>
          <w:rFonts w:cstheme="minorHAnsi"/>
        </w:rPr>
        <w:t xml:space="preserve"> </w:t>
      </w:r>
      <w:r w:rsidR="0086773E">
        <w:rPr>
          <w:rFonts w:cstheme="minorHAnsi"/>
        </w:rPr>
        <w:t>over 20</w:t>
      </w:r>
      <w:r>
        <w:rPr>
          <w:rFonts w:cstheme="minorHAnsi"/>
        </w:rPr>
        <w:t xml:space="preserve"> standards for EVs with links to appropriate web sites describing the standards.  However, the user must analyze the list of 24 standards to identify ones relevant to a use case.  Further, the </w:t>
      </w:r>
      <w:proofErr w:type="spellStart"/>
      <w:r>
        <w:rPr>
          <w:rFonts w:cstheme="minorHAnsi"/>
        </w:rPr>
        <w:t>CoS</w:t>
      </w:r>
      <w:proofErr w:type="spellEnd"/>
      <w:r>
        <w:rPr>
          <w:rFonts w:cstheme="minorHAnsi"/>
        </w:rPr>
        <w:t xml:space="preserve"> may not cover certain standards of relevance – e.g., SAE J3072 is not included but is critical for V2G applications.</w:t>
      </w:r>
    </w:p>
    <w:p w14:paraId="4145B6C5" w14:textId="055752B9" w:rsidR="00AF0A4B" w:rsidRPr="00B238EE" w:rsidRDefault="006C2820" w:rsidP="00791525">
      <w:pPr>
        <w:pStyle w:val="ListParagraph"/>
        <w:numPr>
          <w:ilvl w:val="0"/>
          <w:numId w:val="6"/>
        </w:numPr>
        <w:rPr>
          <w:rFonts w:cstheme="minorHAnsi"/>
        </w:rPr>
      </w:pPr>
      <w:hyperlink r:id="rId17" w:history="1">
        <w:r w:rsidR="00AF0A4B" w:rsidRPr="006C2820">
          <w:rPr>
            <w:rStyle w:val="Hyperlink"/>
            <w:b/>
            <w:bCs/>
          </w:rPr>
          <w:t>Smart Electric Power Alliance and NIST</w:t>
        </w:r>
        <w:r w:rsidR="00B238EE" w:rsidRPr="006C2820">
          <w:rPr>
            <w:rStyle w:val="Hyperlink"/>
            <w:b/>
            <w:bCs/>
          </w:rPr>
          <w:t xml:space="preserve"> Catalogue of Test Programs</w:t>
        </w:r>
      </w:hyperlink>
      <w:r w:rsidR="00B238EE">
        <w:rPr>
          <w:b/>
          <w:bCs/>
        </w:rPr>
        <w:t xml:space="preserve"> </w:t>
      </w:r>
      <w:r w:rsidR="00B238EE" w:rsidRPr="00B238EE">
        <w:t xml:space="preserve">is </w:t>
      </w:r>
      <w:r w:rsidR="00BB07CB">
        <w:t>another useful</w:t>
      </w:r>
      <w:r w:rsidR="00B238EE" w:rsidRPr="00B238EE">
        <w:t xml:space="preserve"> </w:t>
      </w:r>
      <w:r w:rsidR="00B238EE">
        <w:t xml:space="preserve">information source </w:t>
      </w:r>
      <w:r w:rsidR="00BB07CB">
        <w:t>for protocols</w:t>
      </w:r>
      <w:r w:rsidR="00B238EE">
        <w:t xml:space="preserve">.  </w:t>
      </w:r>
      <w:r w:rsidR="0054387D">
        <w:t>The database is online and easily navigated with information on each of the identified test and certification programs for all of the smart grid standards and domains</w:t>
      </w:r>
      <w:r w:rsidR="00BB07CB">
        <w:t xml:space="preserve"> it covers</w:t>
      </w:r>
      <w:r w:rsidR="0054387D">
        <w:t xml:space="preserve">.   </w:t>
      </w:r>
      <w:r w:rsidR="00A87D03">
        <w:t xml:space="preserve">The COTP is broader than DER protocols and heavily weighted currently to IEC </w:t>
      </w:r>
      <w:r w:rsidR="00A36601">
        <w:t>standards</w:t>
      </w:r>
      <w:r w:rsidR="0054387D">
        <w:t>.</w:t>
      </w:r>
      <w:r w:rsidR="00A36601">
        <w:t xml:space="preserve">   </w:t>
      </w:r>
      <w:r w:rsidR="00A0773E">
        <w:t>Key DER protocols such as IEEE 2030.5 and OpenADR are not included as yet.</w:t>
      </w:r>
    </w:p>
    <w:p w14:paraId="775E4928" w14:textId="445714F1" w:rsidR="002C6EF1" w:rsidRPr="008C7325" w:rsidRDefault="00A07800" w:rsidP="00791525">
      <w:pPr>
        <w:pStyle w:val="ListParagraph"/>
        <w:numPr>
          <w:ilvl w:val="0"/>
          <w:numId w:val="6"/>
        </w:numPr>
        <w:rPr>
          <w:rFonts w:cstheme="minorHAnsi"/>
        </w:rPr>
      </w:pPr>
      <w:hyperlink r:id="rId18" w:history="1">
        <w:r w:rsidR="002C6EF1" w:rsidRPr="00F47F7B">
          <w:rPr>
            <w:rStyle w:val="Hyperlink"/>
            <w:b/>
            <w:bCs/>
          </w:rPr>
          <w:t xml:space="preserve">NIST Framework and Roadmap for Smart Grid Interoperability Standards, Release </w:t>
        </w:r>
        <w:r w:rsidR="00A70AC3">
          <w:rPr>
            <w:rStyle w:val="Hyperlink"/>
            <w:b/>
            <w:bCs/>
          </w:rPr>
          <w:t>4</w:t>
        </w:r>
        <w:r w:rsidR="002C6EF1" w:rsidRPr="00F47F7B">
          <w:rPr>
            <w:rStyle w:val="Hyperlink"/>
            <w:b/>
            <w:bCs/>
          </w:rPr>
          <w:t>.0</w:t>
        </w:r>
      </w:hyperlink>
      <w:r w:rsidR="002C6EF1">
        <w:rPr>
          <w:b/>
          <w:bCs/>
        </w:rPr>
        <w:t xml:space="preserve">, </w:t>
      </w:r>
      <w:r w:rsidR="002C6EF1" w:rsidRPr="00F47F7B">
        <w:t>Identified List of SG Standards.</w:t>
      </w:r>
      <w:r w:rsidR="002C6EF1">
        <w:t xml:space="preserve">   This document was published in 2014 and </w:t>
      </w:r>
      <w:r w:rsidR="0040361E">
        <w:t>Version 4.0 was just released.</w:t>
      </w:r>
      <w:r w:rsidR="002C6EF1">
        <w:t xml:space="preserve"> It catalogues 244 standards as well as an in depth discussion of testing and certification of smart grid standards.  The standards are listed in a table with some comments and a link to appropriate web sites for more information.  This source is closely related to the SEPA </w:t>
      </w:r>
      <w:proofErr w:type="spellStart"/>
      <w:r w:rsidR="002C6EF1">
        <w:t>CoS</w:t>
      </w:r>
      <w:proofErr w:type="spellEnd"/>
      <w:r w:rsidR="002C6EF1">
        <w:t xml:space="preserve"> and is a handy guide for identifying standards for a specific application.   But the user is left with the task of digging further and evaluating them for the application.</w:t>
      </w:r>
    </w:p>
    <w:p w14:paraId="772976B1" w14:textId="0A58D933" w:rsidR="002C6EF1" w:rsidRPr="003A75E8" w:rsidRDefault="00A07800" w:rsidP="00791525">
      <w:pPr>
        <w:pStyle w:val="ListParagraph"/>
        <w:numPr>
          <w:ilvl w:val="0"/>
          <w:numId w:val="6"/>
        </w:numPr>
        <w:rPr>
          <w:rFonts w:cstheme="minorHAnsi"/>
        </w:rPr>
      </w:pPr>
      <w:hyperlink r:id="rId19" w:history="1">
        <w:r w:rsidR="002C6EF1" w:rsidRPr="003A75E8">
          <w:rPr>
            <w:rStyle w:val="Hyperlink"/>
            <w:b/>
            <w:bCs/>
          </w:rPr>
          <w:t>DSO Priorities for Smart Grid Standardization</w:t>
        </w:r>
      </w:hyperlink>
      <w:r w:rsidR="002C6EF1">
        <w:t xml:space="preserve">, published by </w:t>
      </w:r>
      <w:proofErr w:type="spellStart"/>
      <w:r w:rsidR="002C6EF1">
        <w:t>Euroelectric</w:t>
      </w:r>
      <w:proofErr w:type="spellEnd"/>
      <w:r w:rsidR="002C6EF1">
        <w:t xml:space="preserve"> and EDSO (undated but probably published in 2014).  While this document is useful and does contain analysis and recommendations, it is very European and IEC centric and references only 19 standards, 15 of which are IEC specific standards.   For North America this is marginally useful as it is dated and does not contain any IEC, SAE, IEEE or other key standards used in th</w:t>
      </w:r>
      <w:r w:rsidR="00402C70">
        <w:t>is</w:t>
      </w:r>
      <w:r w:rsidR="002C6EF1">
        <w:t xml:space="preserve"> continent.</w:t>
      </w:r>
    </w:p>
    <w:p w14:paraId="0CBB6B8D" w14:textId="0D911F4B" w:rsidR="002C6EF1" w:rsidRDefault="002C6EF1" w:rsidP="002C6EF1">
      <w:pPr>
        <w:rPr>
          <w:rFonts w:cstheme="minorHAnsi"/>
        </w:rPr>
      </w:pPr>
      <w:r>
        <w:rPr>
          <w:rFonts w:cstheme="minorHAnsi"/>
        </w:rPr>
        <w:t>As noted, a user attempting to understand and select one of more grid</w:t>
      </w:r>
      <w:r w:rsidR="00402C70">
        <w:rPr>
          <w:rFonts w:cstheme="minorHAnsi"/>
        </w:rPr>
        <w:t>-</w:t>
      </w:r>
      <w:r>
        <w:rPr>
          <w:rFonts w:cstheme="minorHAnsi"/>
        </w:rPr>
        <w:t xml:space="preserve">edge interface standards is faced with a daunting task of either wading through the available data, paying a consultant to do so or simply accepting vendor claims that they can successfully handle the application (most likely with proprietary interfaces).  </w:t>
      </w:r>
    </w:p>
    <w:p w14:paraId="0D19AE75" w14:textId="1EFC7C54" w:rsidR="002C6EF1" w:rsidRDefault="008B030D" w:rsidP="002C6EF1">
      <w:pPr>
        <w:rPr>
          <w:rFonts w:cstheme="minorHAnsi"/>
        </w:rPr>
      </w:pPr>
      <w:bookmarkStart w:id="6" w:name="_Hlk32591648"/>
      <w:r>
        <w:rPr>
          <w:rFonts w:cstheme="minorHAnsi"/>
        </w:rPr>
        <w:t>Most people are focused on a</w:t>
      </w:r>
      <w:r w:rsidR="002C6EF1">
        <w:rPr>
          <w:rFonts w:cstheme="minorHAnsi"/>
        </w:rPr>
        <w:t xml:space="preserve"> few key open</w:t>
      </w:r>
      <w:bookmarkEnd w:id="6"/>
      <w:r w:rsidR="002C6EF1">
        <w:rPr>
          <w:rFonts w:cstheme="minorHAnsi"/>
        </w:rPr>
        <w:t xml:space="preserve"> </w:t>
      </w:r>
      <w:bookmarkStart w:id="7" w:name="_Hlk32591717"/>
      <w:r w:rsidR="002C6EF1">
        <w:rPr>
          <w:rFonts w:cstheme="minorHAnsi"/>
        </w:rPr>
        <w:t>protocols that are being mandated or attaining traction</w:t>
      </w:r>
      <w:r w:rsidR="002A5814">
        <w:rPr>
          <w:rFonts w:cstheme="minorHAnsi"/>
        </w:rPr>
        <w:t xml:space="preserve"> for DER communications</w:t>
      </w:r>
      <w:r w:rsidR="002C6EF1">
        <w:rPr>
          <w:rFonts w:cstheme="minorHAnsi"/>
        </w:rPr>
        <w:t xml:space="preserve">.   </w:t>
      </w:r>
      <w:bookmarkEnd w:id="7"/>
    </w:p>
    <w:p w14:paraId="6F73EDAA" w14:textId="3B66A8EA" w:rsidR="00402C70" w:rsidRDefault="00402C70" w:rsidP="002C6EF1">
      <w:pPr>
        <w:rPr>
          <w:rFonts w:cstheme="minorHAnsi"/>
        </w:rPr>
      </w:pPr>
      <w:r>
        <w:rPr>
          <w:rFonts w:cstheme="minorHAnsi"/>
        </w:rPr>
        <w:t xml:space="preserve">To the extent that building codes, the National Electrical Code and other codes and standards have impact on the selection and implementation of grid-edge communication standards, </w:t>
      </w:r>
      <w:r w:rsidR="00421422">
        <w:rPr>
          <w:rFonts w:cstheme="minorHAnsi"/>
        </w:rPr>
        <w:t xml:space="preserve">this adds additional complexity to finding the relevant </w:t>
      </w:r>
      <w:r w:rsidR="006373E4">
        <w:rPr>
          <w:rFonts w:cstheme="minorHAnsi"/>
        </w:rPr>
        <w:t>information on the standards</w:t>
      </w:r>
      <w:r>
        <w:rPr>
          <w:rFonts w:cstheme="minorHAnsi"/>
        </w:rPr>
        <w:t>.  For instance, the 2019 CA Title 24 Building Code requires residential buildings with interconnected energy storage systems to support both OpenADR signaling for Demand Response and CA Rule 21 interconnection requirements for IEEE 2030.5.</w:t>
      </w:r>
    </w:p>
    <w:p w14:paraId="7E2A15F9" w14:textId="4C695E2B" w:rsidR="00323A58" w:rsidRDefault="00323A58" w:rsidP="00323A58">
      <w:pPr>
        <w:pStyle w:val="Heading2"/>
      </w:pPr>
      <w:bookmarkStart w:id="8" w:name="_Toc64988002"/>
      <w:r>
        <w:t>DER Protocols Platform Survey Responses</w:t>
      </w:r>
      <w:bookmarkEnd w:id="8"/>
    </w:p>
    <w:p w14:paraId="014E7DAE" w14:textId="75CDAE4F" w:rsidR="00323A58" w:rsidRDefault="001C4D4C" w:rsidP="002C6EF1">
      <w:pPr>
        <w:rPr>
          <w:rFonts w:cstheme="minorHAnsi"/>
        </w:rPr>
      </w:pPr>
      <w:r>
        <w:rPr>
          <w:rFonts w:cstheme="minorHAnsi"/>
        </w:rPr>
        <w:t>The survey results reinforced our hypothesis that the information people get comes from a variety of sources.  There is no single dominant source so users must assemble their own picture and conclusions based on discussions and research with multiple sources.</w:t>
      </w:r>
    </w:p>
    <w:p w14:paraId="6EA50D0D" w14:textId="11C0431B" w:rsidR="001C4D4C" w:rsidRDefault="001C4D4C" w:rsidP="002C6EF1">
      <w:pPr>
        <w:rPr>
          <w:rFonts w:cstheme="minorHAnsi"/>
        </w:rPr>
      </w:pPr>
      <w:r>
        <w:rPr>
          <w:rFonts w:cstheme="minorHAnsi"/>
        </w:rPr>
        <w:t>60% of respondents pointed to vendors as their source of information on standards.  This is very problematic given the natural bias of vendors for their own proprietary protocols to lock in utility programs a</w:t>
      </w:r>
      <w:r w:rsidR="008F71DA">
        <w:rPr>
          <w:rFonts w:cstheme="minorHAnsi"/>
        </w:rPr>
        <w:t>n</w:t>
      </w:r>
      <w:r>
        <w:rPr>
          <w:rFonts w:cstheme="minorHAnsi"/>
        </w:rPr>
        <w:t>d customers.</w:t>
      </w:r>
    </w:p>
    <w:p w14:paraId="79C894E7" w14:textId="788E3E1C" w:rsidR="002F75F9" w:rsidRPr="001C4D4C" w:rsidRDefault="001C4D4C">
      <w:pPr>
        <w:rPr>
          <w:rFonts w:cstheme="minorHAnsi"/>
        </w:rPr>
      </w:pPr>
      <w:r>
        <w:rPr>
          <w:noProof/>
        </w:rPr>
        <w:lastRenderedPageBreak/>
        <w:drawing>
          <wp:inline distT="0" distB="0" distL="0" distR="0" wp14:anchorId="31E6BD89" wp14:editId="4B984AB4">
            <wp:extent cx="5715000" cy="3841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15000" cy="3841115"/>
                    </a:xfrm>
                    <a:prstGeom prst="rect">
                      <a:avLst/>
                    </a:prstGeom>
                  </pic:spPr>
                </pic:pic>
              </a:graphicData>
            </a:graphic>
          </wp:inline>
        </w:drawing>
      </w:r>
      <w:bookmarkStart w:id="9" w:name="_Toc522009131"/>
      <w:r w:rsidR="002F75F9">
        <w:rPr>
          <w:snapToGrid w:val="0"/>
        </w:rPr>
        <w:br w:type="page"/>
      </w:r>
    </w:p>
    <w:p w14:paraId="28D29146" w14:textId="77777777" w:rsidR="002C6EF1" w:rsidRPr="00607179" w:rsidRDefault="002C6EF1" w:rsidP="002C6EF1">
      <w:pPr>
        <w:pStyle w:val="Heading1"/>
      </w:pPr>
      <w:bookmarkStart w:id="10" w:name="_Toc32247506"/>
      <w:bookmarkStart w:id="11" w:name="_Toc38943837"/>
      <w:bookmarkStart w:id="12" w:name="_Toc39378273"/>
      <w:bookmarkStart w:id="13" w:name="_Toc300841462"/>
      <w:bookmarkStart w:id="14" w:name="_Toc38943836"/>
      <w:bookmarkStart w:id="15" w:name="_Toc39378272"/>
      <w:bookmarkStart w:id="16" w:name="_Toc64988003"/>
      <w:bookmarkEnd w:id="9"/>
      <w:r w:rsidRPr="00607179">
        <w:lastRenderedPageBreak/>
        <w:t>Key DER Interface Standards</w:t>
      </w:r>
      <w:bookmarkEnd w:id="10"/>
      <w:bookmarkEnd w:id="16"/>
    </w:p>
    <w:p w14:paraId="0712DEAA" w14:textId="471C1991" w:rsidR="002C6EF1" w:rsidRDefault="002C6EF1" w:rsidP="002C6EF1">
      <w:bookmarkStart w:id="17" w:name="_Hlk32591795"/>
      <w:r>
        <w:t xml:space="preserve">Our definition of the DER domains, and a potential organizing model </w:t>
      </w:r>
      <w:r w:rsidR="00D50E1F">
        <w:t>for DER protocol information is</w:t>
      </w:r>
      <w:r>
        <w:t>:</w:t>
      </w:r>
    </w:p>
    <w:p w14:paraId="79F4C8AB" w14:textId="77777777" w:rsidR="002C6EF1" w:rsidRDefault="002C6EF1" w:rsidP="00791525">
      <w:pPr>
        <w:pStyle w:val="ListParagraph"/>
        <w:numPr>
          <w:ilvl w:val="0"/>
          <w:numId w:val="6"/>
        </w:numPr>
      </w:pPr>
      <w:r>
        <w:t>Traditional and advanced demand management (DR)</w:t>
      </w:r>
    </w:p>
    <w:p w14:paraId="3EC33435" w14:textId="77777777" w:rsidR="002C6EF1" w:rsidRDefault="002C6EF1" w:rsidP="00791525">
      <w:pPr>
        <w:pStyle w:val="ListParagraph"/>
        <w:numPr>
          <w:ilvl w:val="0"/>
          <w:numId w:val="6"/>
        </w:numPr>
      </w:pPr>
      <w:r>
        <w:t>Behind-the-meter – i.e., customer owned - solar and battery storage systems</w:t>
      </w:r>
    </w:p>
    <w:p w14:paraId="61B69CA9" w14:textId="0B660CA0" w:rsidR="002C6EF1" w:rsidRDefault="002C6EF1" w:rsidP="00791525">
      <w:pPr>
        <w:pStyle w:val="ListParagraph"/>
        <w:numPr>
          <w:ilvl w:val="0"/>
          <w:numId w:val="6"/>
        </w:numPr>
      </w:pPr>
      <w:r>
        <w:t>Behind-the-meter Plug-in Electric Vehicles both in V1G and V2G applications</w:t>
      </w:r>
    </w:p>
    <w:p w14:paraId="64FF0687" w14:textId="0002E9E9" w:rsidR="00EF571F" w:rsidRDefault="00EF571F" w:rsidP="00791525">
      <w:pPr>
        <w:pStyle w:val="ListParagraph"/>
        <w:numPr>
          <w:ilvl w:val="0"/>
          <w:numId w:val="6"/>
        </w:numPr>
      </w:pPr>
      <w:r>
        <w:t>Behind-the-meter combinations of DERs</w:t>
      </w:r>
    </w:p>
    <w:p w14:paraId="35A4DD35" w14:textId="77777777" w:rsidR="002C6EF1" w:rsidRDefault="002C6EF1" w:rsidP="00791525">
      <w:pPr>
        <w:pStyle w:val="ListParagraph"/>
        <w:numPr>
          <w:ilvl w:val="0"/>
          <w:numId w:val="6"/>
        </w:numPr>
      </w:pPr>
      <w:r>
        <w:t>Microgrids</w:t>
      </w:r>
    </w:p>
    <w:p w14:paraId="10C6FD9E" w14:textId="77777777" w:rsidR="002C6EF1" w:rsidRDefault="002C6EF1" w:rsidP="00791525">
      <w:pPr>
        <w:pStyle w:val="ListParagraph"/>
        <w:numPr>
          <w:ilvl w:val="0"/>
          <w:numId w:val="6"/>
        </w:numPr>
      </w:pPr>
      <w:r>
        <w:t>Utility-scale and utility-owned and managed DER resources</w:t>
      </w:r>
      <w:bookmarkEnd w:id="17"/>
    </w:p>
    <w:p w14:paraId="3CFC5530" w14:textId="66D761FD" w:rsidR="002C6EF1" w:rsidRDefault="002C6EF1" w:rsidP="002C6EF1">
      <w:r>
        <w:t xml:space="preserve">From an interoperability perspective, the DER interfaces need to be paired with some sort of functional device or system requirements.   Without a clear specification of the functions that </w:t>
      </w:r>
      <w:r w:rsidR="009F5952">
        <w:t>devices</w:t>
      </w:r>
      <w:r>
        <w:t xml:space="preserve"> are expected to perform, along with specific performance requirements, the goal of interface standardization is difficult, if not impossible to achieve.   If each DER system behaves differently </w:t>
      </w:r>
      <w:r w:rsidR="00F9093D">
        <w:t xml:space="preserve">with different nomenclature for its functions, </w:t>
      </w:r>
      <w:r>
        <w:t>th</w:t>
      </w:r>
      <w:r w:rsidR="00D65C6D">
        <w:t>e</w:t>
      </w:r>
      <w:r>
        <w:t>n a standard protocol for communications makes no sense.</w:t>
      </w:r>
    </w:p>
    <w:p w14:paraId="375CF485" w14:textId="58E75AA3" w:rsidR="002C6EF1" w:rsidRDefault="002C6EF1" w:rsidP="002C6EF1">
      <w:r>
        <w:t xml:space="preserve">For instance, smart inverters in CA will soon be required to meet the functional requirements </w:t>
      </w:r>
      <w:r w:rsidR="009F5952">
        <w:t xml:space="preserve">specified in </w:t>
      </w:r>
      <w:r>
        <w:t xml:space="preserve">IEEE 1547-2018.   Not only does this enable a standardized management of these assets by the grid operator, it enables the standardization of the communications.  All smart inverters </w:t>
      </w:r>
      <w:r w:rsidR="008345DF">
        <w:t xml:space="preserve">interconnected in the CA IOU territories </w:t>
      </w:r>
      <w:r>
        <w:t xml:space="preserve">will be required to support </w:t>
      </w:r>
      <w:r w:rsidR="003142E4">
        <w:t>the</w:t>
      </w:r>
      <w:r>
        <w:t xml:space="preserve"> functions </w:t>
      </w:r>
      <w:r w:rsidR="003142E4">
        <w:t>specified in IEEE 1547-2018</w:t>
      </w:r>
      <w:r w:rsidR="001A2141">
        <w:t xml:space="preserve"> </w:t>
      </w:r>
      <w:r>
        <w:t xml:space="preserve">such as Volt-Var, Frequency-Watt, Nameplate ratings, etc., as well as a specified communications protocols for interacting with grid operators.  In theory, this means that a single message sent in a specified protocol to </w:t>
      </w:r>
      <w:r w:rsidR="009F5952">
        <w:t>different</w:t>
      </w:r>
      <w:r>
        <w:t xml:space="preserve"> inverters will result in identical behaviors with respect to grid support and safety operations.</w:t>
      </w:r>
    </w:p>
    <w:p w14:paraId="041D633E" w14:textId="77777777" w:rsidR="002C6EF1" w:rsidRDefault="002C6EF1" w:rsidP="002C6EF1">
      <w:r>
        <w:t>An example of the lack of such a specification is the EV charging stations (EVSE).  There is a UL safety standard but no single standard for communicating with the EVSEs about managed charging or V2G applications.  CA is working on this issue and the protocols under consideration will be included in our newsletter.</w:t>
      </w:r>
    </w:p>
    <w:p w14:paraId="7674FB97" w14:textId="0FD4731D" w:rsidR="002C6EF1" w:rsidRDefault="002C6EF1" w:rsidP="002C6EF1">
      <w:r>
        <w:t>At this point in time, the relevant protocols by domain are:</w:t>
      </w:r>
    </w:p>
    <w:p w14:paraId="00E4C74C" w14:textId="77777777" w:rsidR="002C6EF1" w:rsidRDefault="002C6EF1" w:rsidP="002C6EF1">
      <w:pPr>
        <w:pStyle w:val="Heading2"/>
        <w:rPr>
          <w:b w:val="0"/>
          <w:bCs w:val="0"/>
        </w:rPr>
      </w:pPr>
      <w:bookmarkStart w:id="18" w:name="_Toc32247507"/>
      <w:bookmarkStart w:id="19" w:name="_Toc64988004"/>
      <w:r>
        <w:rPr>
          <w:b w:val="0"/>
          <w:bCs w:val="0"/>
        </w:rPr>
        <w:t>Demand Response</w:t>
      </w:r>
      <w:bookmarkEnd w:id="18"/>
      <w:bookmarkEnd w:id="19"/>
    </w:p>
    <w:p w14:paraId="63BE5066" w14:textId="77777777" w:rsidR="002C6EF1" w:rsidRPr="005F4BA7" w:rsidRDefault="002C6EF1" w:rsidP="00791525">
      <w:pPr>
        <w:pStyle w:val="ListParagraph"/>
        <w:numPr>
          <w:ilvl w:val="0"/>
          <w:numId w:val="6"/>
        </w:numPr>
        <w:rPr>
          <w:rFonts w:cs="Calibri"/>
          <w:b/>
          <w:bCs/>
          <w:i/>
          <w:iCs/>
          <w:color w:val="auto"/>
        </w:rPr>
      </w:pPr>
      <w:r>
        <w:t xml:space="preserve">OpenADR and IEC </w:t>
      </w:r>
      <w:r w:rsidRPr="005F4BA7">
        <w:rPr>
          <w:rFonts w:cs="Calibri"/>
          <w:color w:val="4A4A4A"/>
          <w:shd w:val="clear" w:color="auto" w:fill="FFFFFF"/>
        </w:rPr>
        <w:t>62746-10-1 ED1</w:t>
      </w:r>
    </w:p>
    <w:p w14:paraId="171F5630" w14:textId="77777777" w:rsidR="002C6EF1" w:rsidRPr="005F4BA7" w:rsidRDefault="002C6EF1" w:rsidP="00791525">
      <w:pPr>
        <w:pStyle w:val="ListParagraph"/>
        <w:numPr>
          <w:ilvl w:val="0"/>
          <w:numId w:val="6"/>
        </w:numPr>
        <w:rPr>
          <w:rFonts w:cs="Calibri"/>
          <w:b/>
          <w:bCs/>
          <w:i/>
          <w:iCs/>
        </w:rPr>
      </w:pPr>
      <w:r>
        <w:rPr>
          <w:rFonts w:cs="Calibri"/>
          <w:color w:val="4A4A4A"/>
          <w:shd w:val="clear" w:color="auto" w:fill="FFFFFF"/>
        </w:rPr>
        <w:t>IEEE 2030.5 as implemented for DR in some jurisdictions</w:t>
      </w:r>
    </w:p>
    <w:p w14:paraId="283A3B6B" w14:textId="77777777" w:rsidR="002C6EF1" w:rsidRPr="00A634B1" w:rsidRDefault="002C6EF1" w:rsidP="002C6EF1">
      <w:pPr>
        <w:pStyle w:val="Heading2"/>
        <w:rPr>
          <w:b w:val="0"/>
          <w:bCs w:val="0"/>
        </w:rPr>
      </w:pPr>
      <w:bookmarkStart w:id="20" w:name="_Toc32247508"/>
      <w:bookmarkStart w:id="21" w:name="_Toc64988005"/>
      <w:r w:rsidRPr="00A634B1">
        <w:rPr>
          <w:b w:val="0"/>
          <w:bCs w:val="0"/>
        </w:rPr>
        <w:t>Behind-the-meter Solar and Storage</w:t>
      </w:r>
      <w:bookmarkEnd w:id="20"/>
      <w:bookmarkEnd w:id="21"/>
    </w:p>
    <w:p w14:paraId="5D063263" w14:textId="77777777" w:rsidR="002C6EF1" w:rsidRDefault="002C6EF1" w:rsidP="00791525">
      <w:pPr>
        <w:pStyle w:val="ListParagraph"/>
        <w:numPr>
          <w:ilvl w:val="0"/>
          <w:numId w:val="6"/>
        </w:numPr>
      </w:pPr>
      <w:bookmarkStart w:id="22" w:name="_Hlk32592943"/>
      <w:r>
        <w:t>IEEE 2030.5 as mandated in CA Rule 21</w:t>
      </w:r>
    </w:p>
    <w:p w14:paraId="51C7FAD9" w14:textId="77777777" w:rsidR="002C6EF1" w:rsidRDefault="002C6EF1" w:rsidP="00791525">
      <w:pPr>
        <w:pStyle w:val="ListParagraph"/>
        <w:numPr>
          <w:ilvl w:val="0"/>
          <w:numId w:val="6"/>
        </w:numPr>
      </w:pPr>
      <w:r>
        <w:t>OpenADR as mandated in CA Title 24</w:t>
      </w:r>
    </w:p>
    <w:p w14:paraId="7FEF2C79" w14:textId="2E1CCF0D" w:rsidR="002C6EF1" w:rsidRDefault="003B2B57" w:rsidP="00791525">
      <w:pPr>
        <w:pStyle w:val="ListParagraph"/>
        <w:numPr>
          <w:ilvl w:val="0"/>
          <w:numId w:val="6"/>
        </w:numPr>
      </w:pPr>
      <w:r>
        <w:t>MESA-DER</w:t>
      </w:r>
      <w:r w:rsidR="002C6EF1">
        <w:t xml:space="preserve"> storage control standard</w:t>
      </w:r>
    </w:p>
    <w:p w14:paraId="158A0F67" w14:textId="77777777" w:rsidR="002C6EF1" w:rsidRDefault="002C6EF1" w:rsidP="00791525">
      <w:pPr>
        <w:pStyle w:val="ListParagraph"/>
        <w:numPr>
          <w:ilvl w:val="0"/>
          <w:numId w:val="6"/>
        </w:numPr>
      </w:pPr>
      <w:r>
        <w:lastRenderedPageBreak/>
        <w:t xml:space="preserve">DNP3 AN 2019 as intended to </w:t>
      </w:r>
      <w:proofErr w:type="spellStart"/>
      <w:r>
        <w:t>used</w:t>
      </w:r>
      <w:proofErr w:type="spellEnd"/>
      <w:r>
        <w:t xml:space="preserve"> by some utilities</w:t>
      </w:r>
    </w:p>
    <w:p w14:paraId="6C7D9631" w14:textId="77777777" w:rsidR="002C6EF1" w:rsidRDefault="002C6EF1" w:rsidP="00791525">
      <w:pPr>
        <w:pStyle w:val="ListParagraph"/>
        <w:numPr>
          <w:ilvl w:val="0"/>
          <w:numId w:val="6"/>
        </w:numPr>
      </w:pPr>
      <w:r>
        <w:t>IEC 61850 parts focused on DER communications</w:t>
      </w:r>
    </w:p>
    <w:p w14:paraId="28F7C359" w14:textId="77777777" w:rsidR="002C6EF1" w:rsidRDefault="002C6EF1" w:rsidP="00791525">
      <w:pPr>
        <w:pStyle w:val="ListParagraph"/>
        <w:numPr>
          <w:ilvl w:val="0"/>
          <w:numId w:val="6"/>
        </w:numPr>
      </w:pPr>
      <w:proofErr w:type="spellStart"/>
      <w:r>
        <w:t>SunSpec</w:t>
      </w:r>
      <w:proofErr w:type="spellEnd"/>
      <w:r>
        <w:t xml:space="preserve"> solar and storage control standard (Modbus and IP-based)</w:t>
      </w:r>
    </w:p>
    <w:p w14:paraId="440DF663" w14:textId="77777777" w:rsidR="002C6EF1" w:rsidRDefault="002C6EF1" w:rsidP="00791525">
      <w:pPr>
        <w:pStyle w:val="ListParagraph"/>
        <w:numPr>
          <w:ilvl w:val="0"/>
          <w:numId w:val="6"/>
        </w:numPr>
      </w:pPr>
      <w:bookmarkStart w:id="23" w:name="_Hlk32164722"/>
      <w:r>
        <w:t>UL 1741 SA and IEEE 1547-2018 defines grid-connected inverter functional and communications requirements today and in the future</w:t>
      </w:r>
    </w:p>
    <w:p w14:paraId="66B211A0" w14:textId="77777777" w:rsidR="002C6EF1" w:rsidRPr="00A634B1" w:rsidRDefault="002C6EF1" w:rsidP="002C6EF1">
      <w:pPr>
        <w:pStyle w:val="Heading2"/>
        <w:rPr>
          <w:b w:val="0"/>
          <w:bCs w:val="0"/>
        </w:rPr>
      </w:pPr>
      <w:bookmarkStart w:id="24" w:name="_Toc32247509"/>
      <w:bookmarkStart w:id="25" w:name="_Toc64988006"/>
      <w:bookmarkEnd w:id="22"/>
      <w:bookmarkEnd w:id="23"/>
      <w:r w:rsidRPr="00A634B1">
        <w:rPr>
          <w:b w:val="0"/>
          <w:bCs w:val="0"/>
        </w:rPr>
        <w:t>Behind-the-meter Plug-in Electric Vehicles both in V1G and V2G applications</w:t>
      </w:r>
      <w:bookmarkEnd w:id="24"/>
      <w:bookmarkEnd w:id="25"/>
    </w:p>
    <w:p w14:paraId="585B02E9" w14:textId="77777777" w:rsidR="002C6EF1" w:rsidRDefault="002C6EF1" w:rsidP="00791525">
      <w:pPr>
        <w:pStyle w:val="ListParagraph"/>
        <w:numPr>
          <w:ilvl w:val="0"/>
          <w:numId w:val="6"/>
        </w:numPr>
      </w:pPr>
      <w:r>
        <w:t>IEEE 2030.5 as mandated in CA Rule 21 and SAE J3072</w:t>
      </w:r>
    </w:p>
    <w:p w14:paraId="368B920A" w14:textId="77777777" w:rsidR="002C6EF1" w:rsidRDefault="002C6EF1" w:rsidP="00791525">
      <w:pPr>
        <w:pStyle w:val="ListParagraph"/>
        <w:numPr>
          <w:ilvl w:val="0"/>
          <w:numId w:val="6"/>
        </w:numPr>
      </w:pPr>
      <w:r>
        <w:t xml:space="preserve">OpenADR </w:t>
      </w:r>
      <w:proofErr w:type="spellStart"/>
      <w:r>
        <w:t>as</w:t>
      </w:r>
      <w:proofErr w:type="spellEnd"/>
      <w:r>
        <w:t xml:space="preserve"> used by numerous utilities for managed charging</w:t>
      </w:r>
    </w:p>
    <w:p w14:paraId="236E6AF7" w14:textId="394BE908" w:rsidR="002C6EF1" w:rsidRDefault="002C6EF1" w:rsidP="00791525">
      <w:pPr>
        <w:pStyle w:val="ListParagraph"/>
        <w:numPr>
          <w:ilvl w:val="0"/>
          <w:numId w:val="6"/>
        </w:numPr>
      </w:pPr>
      <w:bookmarkStart w:id="26" w:name="_Hlk32593036"/>
      <w:r>
        <w:t>OCPP</w:t>
      </w:r>
      <w:r w:rsidR="001D4F40">
        <w:t xml:space="preserve"> 1.5/1.6/2.</w:t>
      </w:r>
      <w:r w:rsidR="00D93819">
        <w:t>0</w:t>
      </w:r>
    </w:p>
    <w:p w14:paraId="5E0A5DB2" w14:textId="77777777" w:rsidR="002C6EF1" w:rsidRDefault="002C6EF1" w:rsidP="00791525">
      <w:pPr>
        <w:pStyle w:val="ListParagraph"/>
        <w:numPr>
          <w:ilvl w:val="0"/>
          <w:numId w:val="6"/>
        </w:numPr>
      </w:pPr>
      <w:r>
        <w:t>ISO 15118-2:2014</w:t>
      </w:r>
    </w:p>
    <w:p w14:paraId="4EB958F2" w14:textId="77777777" w:rsidR="002C6EF1" w:rsidRDefault="002C6EF1" w:rsidP="00791525">
      <w:pPr>
        <w:pStyle w:val="ListParagraph"/>
        <w:numPr>
          <w:ilvl w:val="0"/>
          <w:numId w:val="6"/>
        </w:numPr>
      </w:pPr>
      <w:r>
        <w:t>SAE J3072 and related SAE standards</w:t>
      </w:r>
    </w:p>
    <w:p w14:paraId="3796093E" w14:textId="77777777" w:rsidR="002C6EF1" w:rsidRDefault="002C6EF1" w:rsidP="00791525">
      <w:pPr>
        <w:pStyle w:val="ListParagraph"/>
        <w:numPr>
          <w:ilvl w:val="0"/>
          <w:numId w:val="6"/>
        </w:numPr>
      </w:pPr>
      <w:r>
        <w:t>UL 9741 EVSE safety standard</w:t>
      </w:r>
      <w:bookmarkEnd w:id="26"/>
    </w:p>
    <w:p w14:paraId="11ED5463" w14:textId="77777777" w:rsidR="002C6EF1" w:rsidRDefault="002C6EF1" w:rsidP="00791525">
      <w:pPr>
        <w:pStyle w:val="ListParagraph"/>
        <w:numPr>
          <w:ilvl w:val="0"/>
          <w:numId w:val="6"/>
        </w:numPr>
      </w:pPr>
      <w:r>
        <w:t>UL 1741 SA and IEEE 1547-2018 defines grid-connected inverter functional and communications requirements today and in the future</w:t>
      </w:r>
    </w:p>
    <w:p w14:paraId="58CB0AAB" w14:textId="77777777" w:rsidR="002C6EF1" w:rsidRDefault="002C6EF1" w:rsidP="00791525">
      <w:pPr>
        <w:pStyle w:val="ListParagraph"/>
        <w:numPr>
          <w:ilvl w:val="0"/>
          <w:numId w:val="6"/>
        </w:numPr>
      </w:pPr>
      <w:r>
        <w:t>IEC 61850-90-8 Object model for Electric Mobility</w:t>
      </w:r>
    </w:p>
    <w:p w14:paraId="00651E83" w14:textId="77777777" w:rsidR="002C6EF1" w:rsidRPr="00AE060A" w:rsidRDefault="002C6EF1" w:rsidP="002C6EF1">
      <w:pPr>
        <w:pStyle w:val="Heading2"/>
        <w:rPr>
          <w:b w:val="0"/>
          <w:bCs w:val="0"/>
        </w:rPr>
      </w:pPr>
      <w:bookmarkStart w:id="27" w:name="_Toc32247510"/>
      <w:bookmarkStart w:id="28" w:name="_Toc64988007"/>
      <w:r w:rsidRPr="00AE060A">
        <w:rPr>
          <w:b w:val="0"/>
          <w:bCs w:val="0"/>
        </w:rPr>
        <w:t>Microgrids</w:t>
      </w:r>
      <w:bookmarkEnd w:id="27"/>
      <w:bookmarkEnd w:id="28"/>
    </w:p>
    <w:p w14:paraId="425039A4" w14:textId="77777777" w:rsidR="002C6EF1" w:rsidRDefault="002C6EF1" w:rsidP="00791525">
      <w:pPr>
        <w:pStyle w:val="ListParagraph"/>
        <w:numPr>
          <w:ilvl w:val="0"/>
          <w:numId w:val="6"/>
        </w:numPr>
      </w:pPr>
      <w:r>
        <w:t>IEEE 2030.7-2017 Standard for Specification of Microgrid Controllers</w:t>
      </w:r>
    </w:p>
    <w:p w14:paraId="1AC02F4F" w14:textId="77777777" w:rsidR="002C6EF1" w:rsidRDefault="002C6EF1" w:rsidP="00791525">
      <w:pPr>
        <w:pStyle w:val="ListParagraph"/>
        <w:numPr>
          <w:ilvl w:val="0"/>
          <w:numId w:val="6"/>
        </w:numPr>
      </w:pPr>
      <w:r>
        <w:t xml:space="preserve">IEEE 2030.8-2018 Standard for Testing of Microgrid Controllers </w:t>
      </w:r>
    </w:p>
    <w:p w14:paraId="59E3ACAF" w14:textId="77777777" w:rsidR="002C6EF1" w:rsidRDefault="002C6EF1" w:rsidP="00791525">
      <w:pPr>
        <w:pStyle w:val="ListParagraph"/>
        <w:numPr>
          <w:ilvl w:val="0"/>
          <w:numId w:val="6"/>
        </w:numPr>
      </w:pPr>
      <w:r>
        <w:t>IEEE 1547.1-2018 DER Interconnection Requirements</w:t>
      </w:r>
    </w:p>
    <w:p w14:paraId="0E649E41" w14:textId="77777777" w:rsidR="002C6EF1" w:rsidRDefault="002C6EF1" w:rsidP="00791525">
      <w:pPr>
        <w:pStyle w:val="ListParagraph"/>
        <w:numPr>
          <w:ilvl w:val="0"/>
          <w:numId w:val="6"/>
        </w:numPr>
      </w:pPr>
      <w:r>
        <w:t>UL 3001</w:t>
      </w:r>
    </w:p>
    <w:p w14:paraId="4517CD93" w14:textId="77777777" w:rsidR="002C6EF1" w:rsidRDefault="002C6EF1" w:rsidP="00791525">
      <w:pPr>
        <w:pStyle w:val="ListParagraph"/>
        <w:numPr>
          <w:ilvl w:val="0"/>
          <w:numId w:val="6"/>
        </w:numPr>
      </w:pPr>
      <w:r>
        <w:t xml:space="preserve">DNP3 AN 2019 as intended to </w:t>
      </w:r>
      <w:proofErr w:type="spellStart"/>
      <w:r>
        <w:t>used</w:t>
      </w:r>
      <w:proofErr w:type="spellEnd"/>
      <w:r>
        <w:t xml:space="preserve"> by some utilities</w:t>
      </w:r>
    </w:p>
    <w:p w14:paraId="3D364F74" w14:textId="53B632A2" w:rsidR="002C6EF1" w:rsidRDefault="002C6EF1" w:rsidP="00791525">
      <w:pPr>
        <w:pStyle w:val="ListParagraph"/>
        <w:numPr>
          <w:ilvl w:val="0"/>
          <w:numId w:val="6"/>
        </w:numPr>
      </w:pPr>
      <w:r>
        <w:t>IEC 61850 parts focused on DER communications</w:t>
      </w:r>
    </w:p>
    <w:p w14:paraId="0663AE14" w14:textId="5EEB6BAE" w:rsidR="00D93819" w:rsidRDefault="00D93819" w:rsidP="00D93819">
      <w:pPr>
        <w:pStyle w:val="ListParagraph"/>
        <w:numPr>
          <w:ilvl w:val="0"/>
          <w:numId w:val="6"/>
        </w:numPr>
      </w:pPr>
      <w:r>
        <w:t xml:space="preserve">IEEE 2030.5 as mandated in CA Rule 21 </w:t>
      </w:r>
    </w:p>
    <w:p w14:paraId="0FC15196" w14:textId="752D8364" w:rsidR="00D93819" w:rsidRDefault="00D93819" w:rsidP="00D93819">
      <w:pPr>
        <w:pStyle w:val="ListParagraph"/>
        <w:numPr>
          <w:ilvl w:val="0"/>
          <w:numId w:val="6"/>
        </w:numPr>
      </w:pPr>
      <w:r>
        <w:t xml:space="preserve">OpenADR </w:t>
      </w:r>
      <w:proofErr w:type="spellStart"/>
      <w:r>
        <w:t>as</w:t>
      </w:r>
      <w:proofErr w:type="spellEnd"/>
      <w:r>
        <w:t xml:space="preserve"> used by numerous utilities </w:t>
      </w:r>
      <w:r>
        <w:t>for DR</w:t>
      </w:r>
    </w:p>
    <w:p w14:paraId="53F979FB" w14:textId="03F1B4B5" w:rsidR="00751BB9" w:rsidRDefault="002C6EF1" w:rsidP="002C6EF1">
      <w:r>
        <w:t>We would expect to add additional standards as they gain momentum for one of the above applications.</w:t>
      </w:r>
    </w:p>
    <w:p w14:paraId="3FEFC7DE" w14:textId="77777777" w:rsidR="001C4D4C" w:rsidRDefault="001C4D4C" w:rsidP="001C4D4C">
      <w:pPr>
        <w:pStyle w:val="Heading2"/>
      </w:pPr>
      <w:bookmarkStart w:id="29" w:name="_Toc64988008"/>
      <w:r>
        <w:t>DER Protocols Platform Survey Responses</w:t>
      </w:r>
      <w:bookmarkEnd w:id="29"/>
    </w:p>
    <w:p w14:paraId="6AAE3308" w14:textId="6F010CEC" w:rsidR="001C4D4C" w:rsidRDefault="001C4D4C" w:rsidP="002C6EF1">
      <w:pPr>
        <w:rPr>
          <w:rFonts w:asciiTheme="minorHAnsi" w:hAnsiTheme="minorHAnsi" w:cstheme="minorHAnsi"/>
        </w:rPr>
      </w:pPr>
      <w:r>
        <w:rPr>
          <w:rFonts w:asciiTheme="minorHAnsi" w:hAnsiTheme="minorHAnsi" w:cstheme="minorHAnsi"/>
        </w:rPr>
        <w:t>The survey offered a subset of protocols for ratings on importance.   The only additions offered by respondents were</w:t>
      </w:r>
      <w:r w:rsidR="00381CAB">
        <w:rPr>
          <w:rFonts w:asciiTheme="minorHAnsi" w:hAnsiTheme="minorHAnsi" w:cstheme="minorHAnsi"/>
        </w:rPr>
        <w:t xml:space="preserve"> cybersecurity and the Facility Smart Grid Information Model (FSGM – ISO 17800).</w:t>
      </w:r>
    </w:p>
    <w:p w14:paraId="042CDB29" w14:textId="1A433D11" w:rsidR="001C4D4C" w:rsidRDefault="00677874" w:rsidP="002C6EF1">
      <w:pPr>
        <w:rPr>
          <w:rFonts w:asciiTheme="minorHAnsi" w:hAnsiTheme="minorHAnsi" w:cstheme="minorHAnsi"/>
        </w:rPr>
      </w:pPr>
      <w:r>
        <w:rPr>
          <w:rFonts w:asciiTheme="minorHAnsi" w:hAnsiTheme="minorHAnsi" w:cstheme="minorHAnsi"/>
        </w:rPr>
        <w:t xml:space="preserve">The results reflect a mix of respondents focused on SCADA and substation communications versus those focused on </w:t>
      </w:r>
      <w:r w:rsidR="00062F6D">
        <w:rPr>
          <w:rFonts w:asciiTheme="minorHAnsi" w:hAnsiTheme="minorHAnsi" w:cstheme="minorHAnsi"/>
        </w:rPr>
        <w:t>behind-the-meter DER and DR assets</w:t>
      </w:r>
      <w:r w:rsidR="00381CAB">
        <w:rPr>
          <w:rFonts w:asciiTheme="minorHAnsi" w:hAnsiTheme="minorHAnsi" w:cstheme="minorHAnsi"/>
        </w:rPr>
        <w:t>.</w:t>
      </w:r>
      <w:r w:rsidR="00497863">
        <w:rPr>
          <w:rFonts w:asciiTheme="minorHAnsi" w:hAnsiTheme="minorHAnsi" w:cstheme="minorHAnsi"/>
        </w:rPr>
        <w:t xml:space="preserve">   It is not surprising that the IEEE 2030.5 and OpenADR were deemed highest priority</w:t>
      </w:r>
      <w:r w:rsidR="007212B3">
        <w:rPr>
          <w:rFonts w:asciiTheme="minorHAnsi" w:hAnsiTheme="minorHAnsi" w:cstheme="minorHAnsi"/>
        </w:rPr>
        <w:t xml:space="preserve"> for two reasons: in the behind-the-meter DER domain, these are the two leading protocols</w:t>
      </w:r>
      <w:r w:rsidR="00C20D1A">
        <w:rPr>
          <w:rFonts w:asciiTheme="minorHAnsi" w:hAnsiTheme="minorHAnsi" w:cstheme="minorHAnsi"/>
        </w:rPr>
        <w:t xml:space="preserve"> and secondly, our database is biased towards these protocols since we are </w:t>
      </w:r>
      <w:r w:rsidR="00856F98">
        <w:rPr>
          <w:rFonts w:asciiTheme="minorHAnsi" w:hAnsiTheme="minorHAnsi" w:cstheme="minorHAnsi"/>
        </w:rPr>
        <w:t>directly engaged in both.</w:t>
      </w:r>
    </w:p>
    <w:p w14:paraId="03EDDB97" w14:textId="3CA9E41F" w:rsidR="001C4D4C" w:rsidRDefault="007F1BD4" w:rsidP="002C6EF1">
      <w:pPr>
        <w:rPr>
          <w:rFonts w:asciiTheme="minorHAnsi" w:hAnsiTheme="minorHAnsi" w:cstheme="minorHAnsi"/>
        </w:rPr>
      </w:pPr>
      <w:r>
        <w:rPr>
          <w:noProof/>
        </w:rPr>
        <w:lastRenderedPageBreak/>
        <w:drawing>
          <wp:inline distT="0" distB="0" distL="0" distR="0" wp14:anchorId="5CA13C79" wp14:editId="7D20A299">
            <wp:extent cx="5715000" cy="3077845"/>
            <wp:effectExtent l="0" t="0" r="0" b="8255"/>
            <wp:docPr id="12" name="Chart 12">
              <a:extLst xmlns:a="http://schemas.openxmlformats.org/drawingml/2006/main">
                <a:ext uri="{FF2B5EF4-FFF2-40B4-BE49-F238E27FC236}">
                  <a16:creationId xmlns:a16="http://schemas.microsoft.com/office/drawing/2014/main" id="{503283AE-68F6-4E5A-97DF-1CC25D3A4F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40E0BE" w14:textId="3484D2F5" w:rsidR="00381CAB" w:rsidRDefault="00381CAB" w:rsidP="002C6EF1">
      <w:pPr>
        <w:rPr>
          <w:rFonts w:asciiTheme="minorHAnsi" w:hAnsiTheme="minorHAnsi" w:cstheme="minorHAnsi"/>
        </w:rPr>
      </w:pPr>
      <w:r>
        <w:rPr>
          <w:rFonts w:asciiTheme="minorHAnsi" w:hAnsiTheme="minorHAnsi" w:cstheme="minorHAnsi"/>
        </w:rPr>
        <w:t xml:space="preserve">The </w:t>
      </w:r>
      <w:r w:rsidR="00856F98">
        <w:rPr>
          <w:rFonts w:asciiTheme="minorHAnsi" w:hAnsiTheme="minorHAnsi" w:cstheme="minorHAnsi"/>
        </w:rPr>
        <w:t>priority for DER</w:t>
      </w:r>
      <w:r>
        <w:rPr>
          <w:rFonts w:asciiTheme="minorHAnsi" w:hAnsiTheme="minorHAnsi" w:cstheme="minorHAnsi"/>
        </w:rPr>
        <w:t xml:space="preserve"> standards </w:t>
      </w:r>
      <w:r w:rsidR="00856F98">
        <w:rPr>
          <w:rFonts w:asciiTheme="minorHAnsi" w:hAnsiTheme="minorHAnsi" w:cstheme="minorHAnsi"/>
        </w:rPr>
        <w:t>information in our survey were</w:t>
      </w:r>
      <w:r>
        <w:rPr>
          <w:rFonts w:asciiTheme="minorHAnsi" w:hAnsiTheme="minorHAnsi" w:cstheme="minorHAnsi"/>
        </w:rPr>
        <w:t>:</w:t>
      </w:r>
    </w:p>
    <w:p w14:paraId="72B3B5B1" w14:textId="429B2085" w:rsidR="00381CAB" w:rsidRDefault="00381CAB" w:rsidP="00791525">
      <w:pPr>
        <w:pStyle w:val="ListParagraph"/>
        <w:numPr>
          <w:ilvl w:val="0"/>
          <w:numId w:val="6"/>
        </w:numPr>
        <w:rPr>
          <w:rFonts w:asciiTheme="minorHAnsi" w:hAnsiTheme="minorHAnsi" w:cstheme="minorHAnsi"/>
        </w:rPr>
      </w:pPr>
      <w:r>
        <w:rPr>
          <w:rFonts w:asciiTheme="minorHAnsi" w:hAnsiTheme="minorHAnsi" w:cstheme="minorHAnsi"/>
        </w:rPr>
        <w:t>IEEE 2030.5</w:t>
      </w:r>
    </w:p>
    <w:p w14:paraId="543B6229" w14:textId="782935C0" w:rsidR="00381CAB" w:rsidRDefault="00381CAB" w:rsidP="00791525">
      <w:pPr>
        <w:pStyle w:val="ListParagraph"/>
        <w:numPr>
          <w:ilvl w:val="0"/>
          <w:numId w:val="6"/>
        </w:numPr>
        <w:rPr>
          <w:rFonts w:asciiTheme="minorHAnsi" w:hAnsiTheme="minorHAnsi" w:cstheme="minorHAnsi"/>
        </w:rPr>
      </w:pPr>
      <w:r>
        <w:rPr>
          <w:rFonts w:asciiTheme="minorHAnsi" w:hAnsiTheme="minorHAnsi" w:cstheme="minorHAnsi"/>
        </w:rPr>
        <w:t>OpenADR</w:t>
      </w:r>
    </w:p>
    <w:p w14:paraId="60000A2C" w14:textId="0207A36A" w:rsidR="00381CAB" w:rsidRDefault="00381CAB" w:rsidP="00791525">
      <w:pPr>
        <w:pStyle w:val="ListParagraph"/>
        <w:numPr>
          <w:ilvl w:val="0"/>
          <w:numId w:val="6"/>
        </w:numPr>
        <w:rPr>
          <w:rFonts w:asciiTheme="minorHAnsi" w:hAnsiTheme="minorHAnsi" w:cstheme="minorHAnsi"/>
        </w:rPr>
      </w:pPr>
      <w:r>
        <w:rPr>
          <w:rFonts w:asciiTheme="minorHAnsi" w:hAnsiTheme="minorHAnsi" w:cstheme="minorHAnsi"/>
        </w:rPr>
        <w:t>IEC 61850</w:t>
      </w:r>
    </w:p>
    <w:p w14:paraId="7A14C51D" w14:textId="2DDE32DC" w:rsidR="00381CAB" w:rsidRDefault="00381CAB" w:rsidP="00791525">
      <w:pPr>
        <w:pStyle w:val="ListParagraph"/>
        <w:numPr>
          <w:ilvl w:val="0"/>
          <w:numId w:val="6"/>
        </w:numPr>
        <w:rPr>
          <w:rFonts w:asciiTheme="minorHAnsi" w:hAnsiTheme="minorHAnsi" w:cstheme="minorHAnsi"/>
        </w:rPr>
      </w:pPr>
      <w:r>
        <w:rPr>
          <w:rFonts w:asciiTheme="minorHAnsi" w:hAnsiTheme="minorHAnsi" w:cstheme="minorHAnsi"/>
        </w:rPr>
        <w:t>UL 1741/IEEE 1547-2018</w:t>
      </w:r>
    </w:p>
    <w:p w14:paraId="1A758D33" w14:textId="57ADAE73" w:rsidR="00381CAB" w:rsidRDefault="00381CAB" w:rsidP="00791525">
      <w:pPr>
        <w:pStyle w:val="ListParagraph"/>
        <w:numPr>
          <w:ilvl w:val="0"/>
          <w:numId w:val="6"/>
        </w:numPr>
        <w:rPr>
          <w:rFonts w:asciiTheme="minorHAnsi" w:hAnsiTheme="minorHAnsi" w:cstheme="minorHAnsi"/>
        </w:rPr>
      </w:pPr>
      <w:r>
        <w:rPr>
          <w:rFonts w:asciiTheme="minorHAnsi" w:hAnsiTheme="minorHAnsi" w:cstheme="minorHAnsi"/>
        </w:rPr>
        <w:t>DNP3</w:t>
      </w:r>
    </w:p>
    <w:p w14:paraId="3D0A5462" w14:textId="74482B5E" w:rsidR="00381CAB" w:rsidRPr="00381CAB" w:rsidRDefault="00381CAB" w:rsidP="00791525">
      <w:pPr>
        <w:pStyle w:val="ListParagraph"/>
        <w:numPr>
          <w:ilvl w:val="0"/>
          <w:numId w:val="6"/>
        </w:numPr>
        <w:rPr>
          <w:rFonts w:asciiTheme="minorHAnsi" w:hAnsiTheme="minorHAnsi" w:cstheme="minorHAnsi"/>
        </w:rPr>
      </w:pPr>
      <w:proofErr w:type="spellStart"/>
      <w:r>
        <w:rPr>
          <w:rFonts w:asciiTheme="minorHAnsi" w:hAnsiTheme="minorHAnsi" w:cstheme="minorHAnsi"/>
        </w:rPr>
        <w:t>SunSpec</w:t>
      </w:r>
      <w:proofErr w:type="spellEnd"/>
    </w:p>
    <w:p w14:paraId="24C97218" w14:textId="24EAECB6" w:rsidR="00751BB9" w:rsidRDefault="002C6EF1" w:rsidP="00751BB9">
      <w:pPr>
        <w:pStyle w:val="Heading1"/>
      </w:pPr>
      <w:bookmarkStart w:id="30" w:name="_Toc32247511"/>
      <w:bookmarkStart w:id="31" w:name="_Toc64988009"/>
      <w:r w:rsidRPr="00607179">
        <w:t>Standards Information</w:t>
      </w:r>
      <w:bookmarkEnd w:id="30"/>
      <w:r w:rsidR="00BA2AC9">
        <w:t xml:space="preserve"> of Most Interest</w:t>
      </w:r>
      <w:bookmarkEnd w:id="31"/>
    </w:p>
    <w:p w14:paraId="1AB3015A" w14:textId="5D0849C0" w:rsidR="006941C9" w:rsidRDefault="0056106B" w:rsidP="00FF4973">
      <w:r>
        <w:t>One question we were interested in answering is</w:t>
      </w:r>
      <w:r w:rsidR="0059779E">
        <w:t>:</w:t>
      </w:r>
      <w:r>
        <w:t xml:space="preserve"> what information is most important to people looking for </w:t>
      </w:r>
      <w:r w:rsidR="003C0FB8">
        <w:t xml:space="preserve">DER </w:t>
      </w:r>
      <w:r w:rsidR="0059779E">
        <w:t>protocol’s</w:t>
      </w:r>
      <w:r w:rsidR="003C0FB8">
        <w:t xml:space="preserve"> information</w:t>
      </w:r>
      <w:r w:rsidR="0059779E">
        <w:t>?</w:t>
      </w:r>
      <w:r w:rsidR="003C0FB8">
        <w:t xml:space="preserve">  </w:t>
      </w:r>
      <w:r w:rsidR="003C0FB8" w:rsidRPr="008D79D0">
        <w:rPr>
          <w:b/>
          <w:bCs/>
          <w:i/>
          <w:iCs/>
        </w:rPr>
        <w:t>Description</w:t>
      </w:r>
      <w:r w:rsidR="003C0FB8">
        <w:t xml:space="preserve"> </w:t>
      </w:r>
      <w:r w:rsidR="005637CA">
        <w:t xml:space="preserve">was the highest priority.  That makes sense in the context that most people have only a vague idea what a particular standard </w:t>
      </w:r>
      <w:r w:rsidR="008D79D0">
        <w:t>is designed for and capable of.</w:t>
      </w:r>
    </w:p>
    <w:p w14:paraId="3D4E655A" w14:textId="31D85F1C" w:rsidR="008D79D0" w:rsidRDefault="008D79D0" w:rsidP="00FF4973">
      <w:r>
        <w:t xml:space="preserve">The next area of interest is </w:t>
      </w:r>
      <w:r w:rsidRPr="001E0CB5">
        <w:rPr>
          <w:b/>
          <w:bCs/>
          <w:i/>
          <w:iCs/>
        </w:rPr>
        <w:t>adoption</w:t>
      </w:r>
      <w:r>
        <w:t xml:space="preserve">, both </w:t>
      </w:r>
      <w:r w:rsidR="00A144B6">
        <w:t xml:space="preserve">in terms of who is adopting and implementing, and which vendors are supporting a standard and how so.   </w:t>
      </w:r>
      <w:r w:rsidR="00D726FF">
        <w:t>It is</w:t>
      </w:r>
      <w:r w:rsidR="00A144B6">
        <w:t xml:space="preserve"> natural for anyone considering using an open standard to want</w:t>
      </w:r>
      <w:r w:rsidR="007354C3">
        <w:t xml:space="preserve"> to know where it is mandated and how big </w:t>
      </w:r>
      <w:r w:rsidR="00402FF4">
        <w:t xml:space="preserve">(and growing) </w:t>
      </w:r>
      <w:r w:rsidR="007354C3">
        <w:t xml:space="preserve">the eco-system </w:t>
      </w:r>
      <w:r w:rsidR="007C616E">
        <w:t xml:space="preserve">is </w:t>
      </w:r>
      <w:r w:rsidR="007354C3">
        <w:t>using it</w:t>
      </w:r>
      <w:r w:rsidR="00402FF4">
        <w:t xml:space="preserve">.   </w:t>
      </w:r>
    </w:p>
    <w:p w14:paraId="02AF7D5D" w14:textId="0522B00D" w:rsidR="00402FF4" w:rsidRDefault="00932226" w:rsidP="00FF4973">
      <w:r>
        <w:t xml:space="preserve">We think the interest in </w:t>
      </w:r>
      <w:r w:rsidRPr="001D6160">
        <w:rPr>
          <w:b/>
          <w:bCs/>
          <w:i/>
          <w:iCs/>
        </w:rPr>
        <w:t>current status</w:t>
      </w:r>
      <w:r w:rsidR="001E0CB5">
        <w:t xml:space="preserve"> is driven by a desire to understand a </w:t>
      </w:r>
      <w:r w:rsidR="00CE4A46">
        <w:t>standard’s</w:t>
      </w:r>
      <w:r w:rsidR="001E0CB5">
        <w:t xml:space="preserve"> stability.  Is an update in process?  Does a certification program exist and how effective is it</w:t>
      </w:r>
      <w:r w:rsidR="00CE4A46">
        <w:t xml:space="preserve">?  And for some people, understanding the history is useful in </w:t>
      </w:r>
      <w:r w:rsidR="007C616E">
        <w:t>p</w:t>
      </w:r>
      <w:r w:rsidR="00CE4A46">
        <w:t xml:space="preserve">lacing a standard in context.  For instance, </w:t>
      </w:r>
      <w:r w:rsidR="00CE4A46">
        <w:lastRenderedPageBreak/>
        <w:t xml:space="preserve">understanding that OpenADR is a subset of the Oasis Energy Interop standard </w:t>
      </w:r>
      <w:r w:rsidR="00192419">
        <w:t>opens the potential for adding transactive functionality to OpenADR.</w:t>
      </w:r>
    </w:p>
    <w:p w14:paraId="38F0800C" w14:textId="11DBB993" w:rsidR="00192419" w:rsidRDefault="001D6160" w:rsidP="00FF4973">
      <w:r>
        <w:t xml:space="preserve">Where to get </w:t>
      </w:r>
      <w:r w:rsidRPr="001D6160">
        <w:rPr>
          <w:b/>
          <w:bCs/>
          <w:i/>
          <w:iCs/>
        </w:rPr>
        <w:t>education and training</w:t>
      </w:r>
      <w:r>
        <w:t xml:space="preserve"> are next in priority but probably highest for those actually working on an implementation based on a standard.  </w:t>
      </w:r>
      <w:r w:rsidR="00B0397B">
        <w:t>There is both high-level education on the standard and its eco-system and in-depth technical training for those doing actual development work.</w:t>
      </w:r>
    </w:p>
    <w:p w14:paraId="356AE6D0" w14:textId="3A4E60E9" w:rsidR="00BA6983" w:rsidRDefault="00BA6983" w:rsidP="00FF4973">
      <w:r>
        <w:t xml:space="preserve">Finally, we asked people to rate interest in </w:t>
      </w:r>
      <w:r w:rsidR="00FF1370" w:rsidRPr="008A729A">
        <w:rPr>
          <w:b/>
          <w:bCs/>
          <w:i/>
          <w:iCs/>
        </w:rPr>
        <w:t>commentary</w:t>
      </w:r>
      <w:r w:rsidR="00FF1370">
        <w:t xml:space="preserve">, </w:t>
      </w:r>
      <w:r w:rsidR="00074A63" w:rsidRPr="008A729A">
        <w:rPr>
          <w:b/>
          <w:bCs/>
          <w:i/>
          <w:iCs/>
        </w:rPr>
        <w:t>advocacy,</w:t>
      </w:r>
      <w:r w:rsidR="00FF1370">
        <w:t xml:space="preserve"> and </w:t>
      </w:r>
      <w:r w:rsidR="00FF1370" w:rsidRPr="00BA2AC9">
        <w:rPr>
          <w:b/>
          <w:bCs/>
          <w:i/>
          <w:iCs/>
        </w:rPr>
        <w:t>calendar of events</w:t>
      </w:r>
      <w:r w:rsidR="00FF1370">
        <w:t xml:space="preserve"> for standards.   These were lowest on the ratings</w:t>
      </w:r>
      <w:r w:rsidR="008A729A">
        <w:t xml:space="preserve"> but still of interest.</w:t>
      </w:r>
    </w:p>
    <w:p w14:paraId="779F6728" w14:textId="1CD3AA39" w:rsidR="00AC5484" w:rsidRDefault="00803248" w:rsidP="00AC5484">
      <w:bookmarkStart w:id="32" w:name="_Toc32247514"/>
      <w:bookmarkEnd w:id="11"/>
      <w:bookmarkEnd w:id="12"/>
      <w:bookmarkEnd w:id="13"/>
      <w:r>
        <w:rPr>
          <w:noProof/>
        </w:rPr>
        <w:drawing>
          <wp:inline distT="0" distB="0" distL="0" distR="0" wp14:anchorId="620BC416" wp14:editId="786E69A3">
            <wp:extent cx="4572000" cy="3850822"/>
            <wp:effectExtent l="0" t="0" r="0" b="16510"/>
            <wp:docPr id="13" name="Chart 13">
              <a:extLst xmlns:a="http://schemas.openxmlformats.org/drawingml/2006/main">
                <a:ext uri="{FF2B5EF4-FFF2-40B4-BE49-F238E27FC236}">
                  <a16:creationId xmlns:a16="http://schemas.microsoft.com/office/drawing/2014/main" id="{6878634C-E43F-469C-84FB-6E69F6D04B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361E9A" w14:textId="3DF2EDE2" w:rsidR="00BA2AC9" w:rsidRDefault="00BA2AC9" w:rsidP="00AC5484"/>
    <w:p w14:paraId="2E64A0B2" w14:textId="37CAF33E" w:rsidR="00BA2AC9" w:rsidRDefault="008E0B62" w:rsidP="00BA2AC9">
      <w:pPr>
        <w:pStyle w:val="Heading1"/>
      </w:pPr>
      <w:bookmarkStart w:id="33" w:name="_Toc64988010"/>
      <w:r>
        <w:t>A DER Protocols Plat</w:t>
      </w:r>
      <w:r w:rsidR="00E15863">
        <w:t>form</w:t>
      </w:r>
      <w:bookmarkEnd w:id="33"/>
    </w:p>
    <w:p w14:paraId="2B9CC088" w14:textId="32702F48" w:rsidR="00BA2AC9" w:rsidRDefault="00E15863" w:rsidP="00BA2AC9">
      <w:r>
        <w:t>We were so impressed with the number of people who responded to our survey (68 out of 1500</w:t>
      </w:r>
      <w:r w:rsidR="00C90761">
        <w:t xml:space="preserve"> invited which is good) that we decided to create </w:t>
      </w:r>
      <w:hyperlink r:id="rId23" w:history="1">
        <w:proofErr w:type="spellStart"/>
        <w:r w:rsidR="00C90761" w:rsidRPr="00CC2C48">
          <w:rPr>
            <w:rStyle w:val="Hyperlink"/>
          </w:rPr>
          <w:t>GridEdge</w:t>
        </w:r>
        <w:proofErr w:type="spellEnd"/>
        <w:r w:rsidR="00C90761" w:rsidRPr="00CC2C48">
          <w:rPr>
            <w:rStyle w:val="Hyperlink"/>
          </w:rPr>
          <w:t xml:space="preserve"> Intelligence</w:t>
        </w:r>
      </w:hyperlink>
      <w:r w:rsidR="00C90761">
        <w:t xml:space="preserve"> to address the gap in </w:t>
      </w:r>
      <w:r w:rsidR="004F3BCB">
        <w:t xml:space="preserve">DER </w:t>
      </w:r>
      <w:r w:rsidR="00C90761">
        <w:t xml:space="preserve">protocol specific information.   </w:t>
      </w:r>
      <w:r w:rsidR="003B6B6E">
        <w:t xml:space="preserve">Besides a focus on individual protocols, </w:t>
      </w:r>
      <w:r w:rsidR="006E3C1F">
        <w:t xml:space="preserve">we included a whole section on interoperability that we call Interop Essentials.   </w:t>
      </w:r>
      <w:r w:rsidR="00143D46">
        <w:t>This is aimed at helping people understand how a truly interoperable, standard-based eco-system can be created</w:t>
      </w:r>
      <w:r w:rsidR="00DB0898">
        <w:t xml:space="preserve"> along with background information </w:t>
      </w:r>
      <w:r w:rsidR="00DB0898">
        <w:lastRenderedPageBreak/>
        <w:t xml:space="preserve">on the protocol world itself – e.g., the </w:t>
      </w:r>
      <w:hyperlink r:id="rId24" w:anchor=":~:text=SEPA%20produces%20the%20Catalog%20of%20Standards%20(CoS)%20as,of%20a%20robust,%20interoperable,%20and%20secure%20Modern/Smart%20Grid." w:history="1">
        <w:r w:rsidR="00DB0898" w:rsidRPr="00255831">
          <w:rPr>
            <w:rStyle w:val="Hyperlink"/>
          </w:rPr>
          <w:t>SEPA Catalog of Standards</w:t>
        </w:r>
      </w:hyperlink>
      <w:r w:rsidR="00DB0898">
        <w:t xml:space="preserve"> and the </w:t>
      </w:r>
      <w:r w:rsidR="000B5454">
        <w:t xml:space="preserve">new </w:t>
      </w:r>
      <w:hyperlink r:id="rId25" w:history="1">
        <w:r w:rsidR="00DB0898" w:rsidRPr="001107D7">
          <w:rPr>
            <w:rStyle w:val="Hyperlink"/>
          </w:rPr>
          <w:t xml:space="preserve">NIST </w:t>
        </w:r>
        <w:r w:rsidR="009F1432" w:rsidRPr="001107D7">
          <w:rPr>
            <w:rStyle w:val="Hyperlink"/>
          </w:rPr>
          <w:t xml:space="preserve">Framework and </w:t>
        </w:r>
        <w:r w:rsidR="000B5454" w:rsidRPr="001107D7">
          <w:rPr>
            <w:rStyle w:val="Hyperlink"/>
          </w:rPr>
          <w:t>Roadmap</w:t>
        </w:r>
        <w:r w:rsidR="009F1432" w:rsidRPr="001107D7">
          <w:rPr>
            <w:rStyle w:val="Hyperlink"/>
          </w:rPr>
          <w:t xml:space="preserve"> for </w:t>
        </w:r>
        <w:r w:rsidR="000B5454" w:rsidRPr="001107D7">
          <w:rPr>
            <w:rStyle w:val="Hyperlink"/>
          </w:rPr>
          <w:t xml:space="preserve">Smart Grid </w:t>
        </w:r>
        <w:r w:rsidR="009F1432" w:rsidRPr="001107D7">
          <w:rPr>
            <w:rStyle w:val="Hyperlink"/>
          </w:rPr>
          <w:t>Interoper</w:t>
        </w:r>
        <w:r w:rsidR="000B5454" w:rsidRPr="001107D7">
          <w:rPr>
            <w:rStyle w:val="Hyperlink"/>
          </w:rPr>
          <w:t>ability</w:t>
        </w:r>
      </w:hyperlink>
      <w:r w:rsidR="000B5454">
        <w:t>.</w:t>
      </w:r>
    </w:p>
    <w:p w14:paraId="5C83E257" w14:textId="31FDE1F5" w:rsidR="004F3BCB" w:rsidRDefault="004F3BCB" w:rsidP="00BA2AC9">
      <w:r>
        <w:t xml:space="preserve">One of the biggest gaps in the DER standards landscape, in our view, </w:t>
      </w:r>
      <w:r w:rsidR="00047860">
        <w:t xml:space="preserve">is the twin issue of understanding comparisons between standards and the inter-standard communications that some applications </w:t>
      </w:r>
      <w:r w:rsidR="00774EC1">
        <w:t xml:space="preserve">require.  For instance, in the V1G and V2G domains, </w:t>
      </w:r>
      <w:r w:rsidR="009938BD">
        <w:t>the standards are not agreed upon and a typical scenario may involve communications using 2-3 different open standards</w:t>
      </w:r>
      <w:r w:rsidR="00AB6E42">
        <w:t xml:space="preserve"> (see our blog </w:t>
      </w:r>
      <w:r w:rsidR="00293244">
        <w:t xml:space="preserve">on this issue </w:t>
      </w:r>
      <w:hyperlink r:id="rId26" w:history="1">
        <w:r w:rsidR="00293244" w:rsidRPr="00293244">
          <w:rPr>
            <w:rStyle w:val="Hyperlink"/>
          </w:rPr>
          <w:t>here</w:t>
        </w:r>
      </w:hyperlink>
      <w:r w:rsidR="00293244">
        <w:t xml:space="preserve">).  </w:t>
      </w:r>
      <w:r w:rsidR="00121AB6">
        <w:t xml:space="preserve">This is another topic we plan to address in </w:t>
      </w:r>
      <w:proofErr w:type="spellStart"/>
      <w:r w:rsidR="00121AB6">
        <w:t>GridEdge</w:t>
      </w:r>
      <w:proofErr w:type="spellEnd"/>
      <w:r w:rsidR="00121AB6">
        <w:t xml:space="preserve"> Intelligence. </w:t>
      </w:r>
    </w:p>
    <w:p w14:paraId="3A506040" w14:textId="083A7BC5" w:rsidR="008A14E9" w:rsidRDefault="008A14E9" w:rsidP="00BA2AC9">
      <w:r>
        <w:t xml:space="preserve">As the global power industry moves towards a more distributed, carbon-free power system, the standardization of the communications for information exchange and </w:t>
      </w:r>
      <w:r w:rsidR="00424553">
        <w:t>grid management operations is only going to become more important.  Hopefully, it will not become more complex and expensive</w:t>
      </w:r>
      <w:r w:rsidR="00104944">
        <w:t xml:space="preserve">.  At </w:t>
      </w:r>
      <w:proofErr w:type="spellStart"/>
      <w:r w:rsidR="00104944">
        <w:t>QualityLogic</w:t>
      </w:r>
      <w:proofErr w:type="spellEnd"/>
      <w:r w:rsidR="00104944">
        <w:t xml:space="preserve"> , we are committed to </w:t>
      </w:r>
      <w:r w:rsidR="00CA2C14">
        <w:t>reducing the costs of DER integration through standardizing the communications required to achieve the end-goal.</w:t>
      </w:r>
      <w:bookmarkEnd w:id="14"/>
      <w:bookmarkEnd w:id="15"/>
      <w:bookmarkEnd w:id="32"/>
    </w:p>
    <w:sectPr w:rsidR="008A14E9" w:rsidSect="00834B22">
      <w:headerReference w:type="default" r:id="rId27"/>
      <w:footerReference w:type="default" r:id="rId28"/>
      <w:pgSz w:w="12240" w:h="15840" w:code="1"/>
      <w:pgMar w:top="2160" w:right="1440" w:bottom="1800" w:left="180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4390" w14:textId="77777777" w:rsidR="00A07800" w:rsidRDefault="00A07800" w:rsidP="00C94A6E">
      <w:pPr>
        <w:spacing w:after="0" w:line="240" w:lineRule="auto"/>
      </w:pPr>
      <w:r>
        <w:separator/>
      </w:r>
    </w:p>
  </w:endnote>
  <w:endnote w:type="continuationSeparator" w:id="0">
    <w:p w14:paraId="01C54C6F" w14:textId="77777777" w:rsidR="00A07800" w:rsidRDefault="00A07800" w:rsidP="00C9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D693" w14:textId="71D8D845" w:rsidR="00631EB7" w:rsidRPr="00FE632F" w:rsidRDefault="00631EB7" w:rsidP="00861B1A">
    <w:pPr>
      <w:pStyle w:val="Footer"/>
      <w:rPr>
        <w:rFonts w:asciiTheme="minorHAnsi" w:hAnsiTheme="minorHAnsi" w:cstheme="minorHAnsi"/>
        <w:sz w:val="18"/>
        <w:szCs w:val="18"/>
      </w:rPr>
    </w:pPr>
    <w:r w:rsidRPr="00FE632F">
      <w:rPr>
        <w:rFonts w:asciiTheme="minorHAnsi" w:hAnsiTheme="minorHAnsi" w:cstheme="minorHAnsi"/>
        <w:noProof/>
        <w:sz w:val="18"/>
        <w:szCs w:val="18"/>
      </w:rPr>
      <mc:AlternateContent>
        <mc:Choice Requires="wps">
          <w:drawing>
            <wp:inline distT="0" distB="0" distL="0" distR="0" wp14:anchorId="4C7653ED" wp14:editId="13E0D9FC">
              <wp:extent cx="5912068" cy="0"/>
              <wp:effectExtent l="0" t="0" r="0" b="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206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54664C" id="Straight Connector 7" o:spid="_x0000_s1026" alt="&quot;&quot;" style="visibility:visible;mso-wrap-style:square;mso-left-percent:-10001;mso-top-percent:-10001;mso-position-horizontal:absolute;mso-position-horizontal-relative:char;mso-position-vertical:absolute;mso-position-vertical-relative:line;mso-left-percent:-10001;mso-top-percent:-10001" from="0,0" to="4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Fb5AEAACcEAAAOAAAAZHJzL2Uyb0RvYy54bWysU8tu2zAQvBfoPxC815IMJGkFyzk4SC99&#10;GE37ATS1lAiQXIJk/Pj7LilbDtqiQIvoQGnJndmd4Wp1f7SG7SFEja7jzaLmDJzEXruh4z++P757&#10;z1lMwvXCoIOOnyDy+/XbN6uDb2GJI5oeAiMSF9uD7/iYkm+rKsoRrIgL9ODoUGGwIlEYhqoP4kDs&#10;1lTLur6tDhh6H1BCjLT7MB3ydeFXCmT6qlSExEzHqbdU1lDWXV6r9Uq0QxB+1PLchviPLqzQjorO&#10;VA8iCfYc9G9UVsuAEVVaSLQVKqUlFA2kpql/UfM0Cg9FC5kT/WxTfD1a+WW/DUz3Hb/jzAlLV/SU&#10;gtDDmNgGnSMDMbC77NPBx5bSN24bzlH025BFH1Ww+U1y2LF4e5q9hWNikjZvPjTL+pamQV7OqivQ&#10;h5g+AlqWPzputMuyRSv2n2KiYpR6ScnbxuU1otH9ozamBHlgYGMC2wu66t3QFALzbD9jP+3d1PRk&#10;IcRW5iunT9GVic4ye5XFTvLKVzoZmCp/A0V2kaCpwEw01RBSgkvNuYpxlJ1hirqcgXXp7K/Ac36G&#10;QhnifwHPiFIZXZrBVjsMf6qejpeW1ZR/cWDSnS3YYX8qF1+soWkszp3/nDzuL+MCv/7f658AAAD/&#10;/wMAUEsDBBQABgAIAAAAIQCoffhp1wAAAAIBAAAPAAAAZHJzL2Rvd25yZXYueG1sTI/BTsMwDIbv&#10;SLxDZCRuLN1ACLqmEypw4AbdNHH0Gq+taJyqSbvy9nhc4GLp02/9/pxtZtepiYbQejawXCSgiCtv&#10;W64N7LavNw+gQkS22HkmA98UYJNfXmSYWn/iD5rKWCsp4ZCigSbGPtU6VA05DAvfE0t29IPDKDjU&#10;2g54knLX6VWS3GuHLcuFBnsqGqq+ytEZcM/Fy347TuVU0N37/Fmvdvi2N+b6an5ag4o0x79lOOuL&#10;OuTidPAj26A6A/JI/J2SPd4uBQ9n1Hmm/6vnPwAAAP//AwBQSwECLQAUAAYACAAAACEAtoM4kv4A&#10;AADhAQAAEwAAAAAAAAAAAAAAAAAAAAAAW0NvbnRlbnRfVHlwZXNdLnhtbFBLAQItABQABgAIAAAA&#10;IQA4/SH/1gAAAJQBAAALAAAAAAAAAAAAAAAAAC8BAABfcmVscy8ucmVsc1BLAQItABQABgAIAAAA&#10;IQAGA0Fb5AEAACcEAAAOAAAAAAAAAAAAAAAAAC4CAABkcnMvZTJvRG9jLnhtbFBLAQItABQABgAI&#10;AAAAIQCoffhp1wAAAAIBAAAPAAAAAAAAAAAAAAAAAD4EAABkcnMvZG93bnJldi54bWxQSwUGAAAA&#10;AAQABADzAAAAQgUAAAAA&#10;" strokecolor="#7f7f7f [1612]" strokeweight=".5pt">
              <v:stroke joinstyle="miter"/>
              <w10:anchorlock/>
            </v:line>
          </w:pict>
        </mc:Fallback>
      </mc:AlternateContent>
    </w:r>
    <w:proofErr w:type="spellStart"/>
    <w:r w:rsidRPr="00FE632F">
      <w:rPr>
        <w:rFonts w:asciiTheme="minorHAnsi" w:hAnsiTheme="minorHAnsi" w:cstheme="minorHAnsi"/>
        <w:sz w:val="18"/>
        <w:szCs w:val="18"/>
      </w:rPr>
      <w:t>QualityLogic</w:t>
    </w:r>
    <w:proofErr w:type="spellEnd"/>
    <w:r w:rsidRPr="00FE632F">
      <w:rPr>
        <w:rFonts w:asciiTheme="minorHAnsi" w:hAnsiTheme="minorHAnsi" w:cstheme="minorHAnsi"/>
        <w:sz w:val="18"/>
        <w:szCs w:val="18"/>
      </w:rPr>
      <w:t xml:space="preserve"> Proprietary and Confidential</w:t>
    </w:r>
    <w:r w:rsidRPr="00FE632F">
      <w:rPr>
        <w:rFonts w:asciiTheme="minorHAnsi" w:hAnsiTheme="minorHAnsi" w:cstheme="minorHAnsi"/>
        <w:sz w:val="18"/>
        <w:szCs w:val="18"/>
      </w:rPr>
      <w:tab/>
    </w:r>
    <w:r w:rsidRPr="00FE632F">
      <w:rPr>
        <w:rFonts w:asciiTheme="minorHAnsi" w:hAnsiTheme="minorHAnsi" w:cstheme="minorHAnsi"/>
        <w:sz w:val="18"/>
        <w:szCs w:val="18"/>
      </w:rPr>
      <w:tab/>
      <w:t xml:space="preserve">Page </w:t>
    </w:r>
    <w:sdt>
      <w:sdtPr>
        <w:rPr>
          <w:rFonts w:asciiTheme="minorHAnsi" w:hAnsiTheme="minorHAnsi" w:cstheme="minorHAnsi"/>
          <w:sz w:val="18"/>
          <w:szCs w:val="18"/>
        </w:rPr>
        <w:id w:val="479432424"/>
        <w:docPartObj>
          <w:docPartGallery w:val="Page Numbers (Bottom of Page)"/>
          <w:docPartUnique/>
        </w:docPartObj>
      </w:sdtPr>
      <w:sdtEndPr>
        <w:rPr>
          <w:noProof/>
        </w:rPr>
      </w:sdtEndPr>
      <w:sdtContent>
        <w:r w:rsidRPr="00FE632F">
          <w:rPr>
            <w:rFonts w:asciiTheme="minorHAnsi" w:hAnsiTheme="minorHAnsi" w:cstheme="minorHAnsi"/>
            <w:sz w:val="18"/>
            <w:szCs w:val="18"/>
          </w:rPr>
          <w:fldChar w:fldCharType="begin"/>
        </w:r>
        <w:r w:rsidRPr="00FE632F">
          <w:rPr>
            <w:rFonts w:asciiTheme="minorHAnsi" w:hAnsiTheme="minorHAnsi" w:cstheme="minorHAnsi"/>
            <w:sz w:val="18"/>
            <w:szCs w:val="18"/>
          </w:rPr>
          <w:instrText xml:space="preserve"> PAGE   \* MERGEFORMAT </w:instrText>
        </w:r>
        <w:r w:rsidRPr="00FE632F">
          <w:rPr>
            <w:rFonts w:asciiTheme="minorHAnsi" w:hAnsiTheme="minorHAnsi" w:cstheme="minorHAnsi"/>
            <w:sz w:val="18"/>
            <w:szCs w:val="18"/>
          </w:rPr>
          <w:fldChar w:fldCharType="separate"/>
        </w:r>
        <w:r w:rsidRPr="00FE632F">
          <w:rPr>
            <w:rFonts w:asciiTheme="minorHAnsi" w:hAnsiTheme="minorHAnsi" w:cstheme="minorHAnsi"/>
            <w:noProof/>
            <w:sz w:val="18"/>
            <w:szCs w:val="18"/>
          </w:rPr>
          <w:t>5</w:t>
        </w:r>
        <w:r w:rsidRPr="00FE632F">
          <w:rPr>
            <w:rFonts w:asciiTheme="minorHAnsi" w:hAnsiTheme="minorHAnsi" w:cstheme="minorHAnsi"/>
            <w:noProof/>
            <w:sz w:val="18"/>
            <w:szCs w:val="18"/>
          </w:rPr>
          <w:fldChar w:fldCharType="end"/>
        </w:r>
      </w:sdtContent>
    </w:sdt>
  </w:p>
  <w:p w14:paraId="1D4EB340" w14:textId="77777777" w:rsidR="00631EB7" w:rsidRDefault="0063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9C92" w14:textId="77777777" w:rsidR="00A07800" w:rsidRDefault="00A07800" w:rsidP="00C94A6E">
      <w:pPr>
        <w:spacing w:after="0" w:line="240" w:lineRule="auto"/>
      </w:pPr>
      <w:r>
        <w:separator/>
      </w:r>
    </w:p>
  </w:footnote>
  <w:footnote w:type="continuationSeparator" w:id="0">
    <w:p w14:paraId="348F18F7" w14:textId="77777777" w:rsidR="00A07800" w:rsidRDefault="00A07800" w:rsidP="00C9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9266" w14:textId="032B50E1" w:rsidR="00631EB7" w:rsidRDefault="00631EB7">
    <w:pPr>
      <w:pStyle w:val="Header"/>
    </w:pPr>
    <w:r>
      <w:rPr>
        <w:noProof/>
      </w:rPr>
      <w:drawing>
        <wp:inline distT="0" distB="0" distL="0" distR="0" wp14:anchorId="2FCA8315" wp14:editId="0A7A472E">
          <wp:extent cx="1914525" cy="54157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Logic---with-slogan.png"/>
                  <pic:cNvPicPr/>
                </pic:nvPicPr>
                <pic:blipFill>
                  <a:blip r:embed="rId1"/>
                  <a:stretch>
                    <a:fillRect/>
                  </a:stretch>
                </pic:blipFill>
                <pic:spPr>
                  <a:xfrm>
                    <a:off x="0" y="0"/>
                    <a:ext cx="1914525" cy="5415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1993" w14:textId="31057736" w:rsidR="00631EB7" w:rsidRDefault="0063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F78E1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B9BE2984"/>
    <w:lvl w:ilvl="0">
      <w:start w:val="1"/>
      <w:numFmt w:val="decimal"/>
      <w:pStyle w:val="ListNumber"/>
      <w:lvlText w:val="%1."/>
      <w:lvlJc w:val="left"/>
      <w:pPr>
        <w:tabs>
          <w:tab w:val="num" w:pos="360"/>
        </w:tabs>
        <w:ind w:left="360" w:hanging="360"/>
      </w:pPr>
    </w:lvl>
  </w:abstractNum>
  <w:abstractNum w:abstractNumId="2" w15:restartNumberingAfterBreak="0">
    <w:nsid w:val="060D4581"/>
    <w:multiLevelType w:val="hybridMultilevel"/>
    <w:tmpl w:val="2766EECE"/>
    <w:lvl w:ilvl="0" w:tplc="01B265C6">
      <w:start w:val="1"/>
      <w:numFmt w:val="decimal"/>
      <w:pStyle w:val="AListNumber1"/>
      <w:lvlText w:val="%1."/>
      <w:lvlJc w:val="left"/>
      <w:pPr>
        <w:ind w:left="360" w:hanging="360"/>
      </w:pPr>
      <w:rPr>
        <w:rFonts w:ascii="Garamond" w:hAnsi="Garamond" w:cs="Times New Roman" w:hint="default"/>
        <w:b w:val="0"/>
        <w:bCs w:val="0"/>
        <w:i w:val="0"/>
        <w:iCs w:val="0"/>
        <w:caps w:val="0"/>
        <w:smallCaps w:val="0"/>
        <w:strike w:val="0"/>
        <w:dstrike w:val="0"/>
        <w:noProof w:val="0"/>
        <w:vanish w:val="0"/>
        <w:color w:val="000000" w:themeColor="tex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54C78"/>
    <w:multiLevelType w:val="hybridMultilevel"/>
    <w:tmpl w:val="01A0A1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31A78"/>
    <w:multiLevelType w:val="multilevel"/>
    <w:tmpl w:val="2B8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77C19"/>
    <w:multiLevelType w:val="hybridMultilevel"/>
    <w:tmpl w:val="1B48EA80"/>
    <w:lvl w:ilvl="0" w:tplc="D202384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93B14"/>
    <w:multiLevelType w:val="hybridMultilevel"/>
    <w:tmpl w:val="6DAE05E2"/>
    <w:lvl w:ilvl="0" w:tplc="CA06DD84">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37F8"/>
    <w:multiLevelType w:val="hybridMultilevel"/>
    <w:tmpl w:val="6AEA2D8A"/>
    <w:lvl w:ilvl="0" w:tplc="2488CE14">
      <w:start w:val="1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2424D"/>
    <w:multiLevelType w:val="hybridMultilevel"/>
    <w:tmpl w:val="A1DE5DD0"/>
    <w:lvl w:ilvl="0" w:tplc="2488CE14">
      <w:start w:val="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C229D"/>
    <w:multiLevelType w:val="hybridMultilevel"/>
    <w:tmpl w:val="27ECE724"/>
    <w:lvl w:ilvl="0" w:tplc="2488CE14">
      <w:start w:val="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6109A"/>
    <w:multiLevelType w:val="hybridMultilevel"/>
    <w:tmpl w:val="DA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33AE4"/>
    <w:multiLevelType w:val="hybridMultilevel"/>
    <w:tmpl w:val="271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C6129"/>
    <w:multiLevelType w:val="hybridMultilevel"/>
    <w:tmpl w:val="CEA65A14"/>
    <w:lvl w:ilvl="0" w:tplc="CA06DD84">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C7300"/>
    <w:multiLevelType w:val="hybridMultilevel"/>
    <w:tmpl w:val="0986BCFA"/>
    <w:lvl w:ilvl="0" w:tplc="2488CE14">
      <w:start w:val="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A794B"/>
    <w:multiLevelType w:val="hybridMultilevel"/>
    <w:tmpl w:val="20B2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B5A9A"/>
    <w:multiLevelType w:val="hybridMultilevel"/>
    <w:tmpl w:val="3D6838D2"/>
    <w:lvl w:ilvl="0" w:tplc="372E3F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A1EB9"/>
    <w:multiLevelType w:val="multilevel"/>
    <w:tmpl w:val="3A204B2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11"/>
  </w:num>
  <w:num w:numId="8">
    <w:abstractNumId w:val="9"/>
  </w:num>
  <w:num w:numId="9">
    <w:abstractNumId w:val="13"/>
  </w:num>
  <w:num w:numId="10">
    <w:abstractNumId w:val="8"/>
  </w:num>
  <w:num w:numId="11">
    <w:abstractNumId w:val="15"/>
  </w:num>
  <w:num w:numId="12">
    <w:abstractNumId w:val="16"/>
  </w:num>
  <w:num w:numId="13">
    <w:abstractNumId w:val="10"/>
  </w:num>
  <w:num w:numId="14">
    <w:abstractNumId w:val="12"/>
  </w:num>
  <w:num w:numId="15">
    <w:abstractNumId w:val="6"/>
  </w:num>
  <w:num w:numId="16">
    <w:abstractNumId w:val="14"/>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TM0Mza0NDEzMzBS0lEKTi0uzszPAymwrAUAlgezySwAAAA="/>
  </w:docVars>
  <w:rsids>
    <w:rsidRoot w:val="00B901C7"/>
    <w:rsid w:val="00003656"/>
    <w:rsid w:val="00007796"/>
    <w:rsid w:val="0002417B"/>
    <w:rsid w:val="0002493A"/>
    <w:rsid w:val="000259FC"/>
    <w:rsid w:val="00027702"/>
    <w:rsid w:val="00030630"/>
    <w:rsid w:val="000327E5"/>
    <w:rsid w:val="00033EF5"/>
    <w:rsid w:val="000379D0"/>
    <w:rsid w:val="000437AA"/>
    <w:rsid w:val="0004633A"/>
    <w:rsid w:val="00047860"/>
    <w:rsid w:val="000620BD"/>
    <w:rsid w:val="00062F6D"/>
    <w:rsid w:val="000643A4"/>
    <w:rsid w:val="00065A1D"/>
    <w:rsid w:val="00074A63"/>
    <w:rsid w:val="000754C0"/>
    <w:rsid w:val="00075BC9"/>
    <w:rsid w:val="000834BB"/>
    <w:rsid w:val="00083E45"/>
    <w:rsid w:val="00084627"/>
    <w:rsid w:val="000847D9"/>
    <w:rsid w:val="00085DB6"/>
    <w:rsid w:val="00090AA7"/>
    <w:rsid w:val="000928EC"/>
    <w:rsid w:val="000929DF"/>
    <w:rsid w:val="00093BEA"/>
    <w:rsid w:val="000944DE"/>
    <w:rsid w:val="00096F9E"/>
    <w:rsid w:val="000A4083"/>
    <w:rsid w:val="000A7DC6"/>
    <w:rsid w:val="000B5454"/>
    <w:rsid w:val="000B5F96"/>
    <w:rsid w:val="000B7033"/>
    <w:rsid w:val="000D32DF"/>
    <w:rsid w:val="000D3DCD"/>
    <w:rsid w:val="000D446D"/>
    <w:rsid w:val="000E18C4"/>
    <w:rsid w:val="000E27F3"/>
    <w:rsid w:val="000E39F7"/>
    <w:rsid w:val="000E6583"/>
    <w:rsid w:val="000F1A3D"/>
    <w:rsid w:val="000F3223"/>
    <w:rsid w:val="000F3624"/>
    <w:rsid w:val="000F58A0"/>
    <w:rsid w:val="000F5B40"/>
    <w:rsid w:val="000F6442"/>
    <w:rsid w:val="000F7E11"/>
    <w:rsid w:val="00101971"/>
    <w:rsid w:val="00104944"/>
    <w:rsid w:val="00107272"/>
    <w:rsid w:val="001101A6"/>
    <w:rsid w:val="001107D7"/>
    <w:rsid w:val="00111570"/>
    <w:rsid w:val="00111D3A"/>
    <w:rsid w:val="00121AB6"/>
    <w:rsid w:val="001229E3"/>
    <w:rsid w:val="00126ECA"/>
    <w:rsid w:val="00126F7B"/>
    <w:rsid w:val="00131E80"/>
    <w:rsid w:val="00141587"/>
    <w:rsid w:val="00143D46"/>
    <w:rsid w:val="00146835"/>
    <w:rsid w:val="001572D7"/>
    <w:rsid w:val="00157EE0"/>
    <w:rsid w:val="001657A7"/>
    <w:rsid w:val="0016611F"/>
    <w:rsid w:val="00176F7C"/>
    <w:rsid w:val="00185377"/>
    <w:rsid w:val="00190F4E"/>
    <w:rsid w:val="00192419"/>
    <w:rsid w:val="00192B02"/>
    <w:rsid w:val="001A1B95"/>
    <w:rsid w:val="001A2141"/>
    <w:rsid w:val="001A3CE3"/>
    <w:rsid w:val="001A40B4"/>
    <w:rsid w:val="001B0367"/>
    <w:rsid w:val="001B09F3"/>
    <w:rsid w:val="001B3C39"/>
    <w:rsid w:val="001B78DC"/>
    <w:rsid w:val="001C0D6D"/>
    <w:rsid w:val="001C3173"/>
    <w:rsid w:val="001C4D4C"/>
    <w:rsid w:val="001C526B"/>
    <w:rsid w:val="001C5B45"/>
    <w:rsid w:val="001D1B76"/>
    <w:rsid w:val="001D230A"/>
    <w:rsid w:val="001D4F40"/>
    <w:rsid w:val="001D583E"/>
    <w:rsid w:val="001D6160"/>
    <w:rsid w:val="001D6577"/>
    <w:rsid w:val="001E0CB5"/>
    <w:rsid w:val="001E2E3B"/>
    <w:rsid w:val="001E6D1D"/>
    <w:rsid w:val="001F13C0"/>
    <w:rsid w:val="002004D2"/>
    <w:rsid w:val="0020472F"/>
    <w:rsid w:val="00215257"/>
    <w:rsid w:val="00215357"/>
    <w:rsid w:val="00216674"/>
    <w:rsid w:val="00220F56"/>
    <w:rsid w:val="00223A67"/>
    <w:rsid w:val="0022534F"/>
    <w:rsid w:val="00226440"/>
    <w:rsid w:val="002267BD"/>
    <w:rsid w:val="00231AF2"/>
    <w:rsid w:val="00243C63"/>
    <w:rsid w:val="00253EF2"/>
    <w:rsid w:val="0025419E"/>
    <w:rsid w:val="00255069"/>
    <w:rsid w:val="00255831"/>
    <w:rsid w:val="00256161"/>
    <w:rsid w:val="002616B3"/>
    <w:rsid w:val="002619C9"/>
    <w:rsid w:val="0026251D"/>
    <w:rsid w:val="00272F12"/>
    <w:rsid w:val="00281814"/>
    <w:rsid w:val="00292479"/>
    <w:rsid w:val="002930B5"/>
    <w:rsid w:val="00293244"/>
    <w:rsid w:val="0029581D"/>
    <w:rsid w:val="00297BC3"/>
    <w:rsid w:val="002A2BF7"/>
    <w:rsid w:val="002A4C67"/>
    <w:rsid w:val="002A5814"/>
    <w:rsid w:val="002A5C7A"/>
    <w:rsid w:val="002B5A56"/>
    <w:rsid w:val="002C16B4"/>
    <w:rsid w:val="002C193F"/>
    <w:rsid w:val="002C6CCF"/>
    <w:rsid w:val="002C6EF1"/>
    <w:rsid w:val="002C722A"/>
    <w:rsid w:val="002D2DF1"/>
    <w:rsid w:val="002F2CFF"/>
    <w:rsid w:val="002F4659"/>
    <w:rsid w:val="002F5357"/>
    <w:rsid w:val="002F714A"/>
    <w:rsid w:val="002F75F9"/>
    <w:rsid w:val="002F7A18"/>
    <w:rsid w:val="003007DA"/>
    <w:rsid w:val="003010B4"/>
    <w:rsid w:val="003012DA"/>
    <w:rsid w:val="003037E7"/>
    <w:rsid w:val="00305021"/>
    <w:rsid w:val="00306F25"/>
    <w:rsid w:val="00312CFA"/>
    <w:rsid w:val="003142E4"/>
    <w:rsid w:val="00322735"/>
    <w:rsid w:val="00323A58"/>
    <w:rsid w:val="0032556B"/>
    <w:rsid w:val="0032635D"/>
    <w:rsid w:val="0032655C"/>
    <w:rsid w:val="00330B9F"/>
    <w:rsid w:val="00335CA1"/>
    <w:rsid w:val="00336963"/>
    <w:rsid w:val="003409E2"/>
    <w:rsid w:val="0034608A"/>
    <w:rsid w:val="00347970"/>
    <w:rsid w:val="003507B5"/>
    <w:rsid w:val="00354038"/>
    <w:rsid w:val="003545DD"/>
    <w:rsid w:val="00362D3F"/>
    <w:rsid w:val="00364F6F"/>
    <w:rsid w:val="003705B0"/>
    <w:rsid w:val="003730DB"/>
    <w:rsid w:val="0037325F"/>
    <w:rsid w:val="00373CE7"/>
    <w:rsid w:val="003742B6"/>
    <w:rsid w:val="00375406"/>
    <w:rsid w:val="0037695B"/>
    <w:rsid w:val="00381CAB"/>
    <w:rsid w:val="00393BBA"/>
    <w:rsid w:val="003942A8"/>
    <w:rsid w:val="00395387"/>
    <w:rsid w:val="00395873"/>
    <w:rsid w:val="00395EDA"/>
    <w:rsid w:val="00397399"/>
    <w:rsid w:val="003A01D8"/>
    <w:rsid w:val="003A09D3"/>
    <w:rsid w:val="003A4758"/>
    <w:rsid w:val="003A4A1A"/>
    <w:rsid w:val="003B1405"/>
    <w:rsid w:val="003B1BEA"/>
    <w:rsid w:val="003B2B57"/>
    <w:rsid w:val="003B2D23"/>
    <w:rsid w:val="003B52FB"/>
    <w:rsid w:val="003B6B6E"/>
    <w:rsid w:val="003C0F0E"/>
    <w:rsid w:val="003C0FB8"/>
    <w:rsid w:val="003C1C7C"/>
    <w:rsid w:val="003C2546"/>
    <w:rsid w:val="003C2D6A"/>
    <w:rsid w:val="003C3B00"/>
    <w:rsid w:val="003C6850"/>
    <w:rsid w:val="003C6A53"/>
    <w:rsid w:val="003D1A80"/>
    <w:rsid w:val="003D1B54"/>
    <w:rsid w:val="003D3F63"/>
    <w:rsid w:val="003E3C84"/>
    <w:rsid w:val="003E695F"/>
    <w:rsid w:val="003E732A"/>
    <w:rsid w:val="003E7487"/>
    <w:rsid w:val="003F0CF3"/>
    <w:rsid w:val="003F36A5"/>
    <w:rsid w:val="003F5CA0"/>
    <w:rsid w:val="003F5DD6"/>
    <w:rsid w:val="003F6218"/>
    <w:rsid w:val="00402C70"/>
    <w:rsid w:val="00402FF4"/>
    <w:rsid w:val="0040361E"/>
    <w:rsid w:val="00412AB0"/>
    <w:rsid w:val="00413B41"/>
    <w:rsid w:val="00414AD6"/>
    <w:rsid w:val="00415134"/>
    <w:rsid w:val="00416A79"/>
    <w:rsid w:val="0042005C"/>
    <w:rsid w:val="00420E16"/>
    <w:rsid w:val="00421422"/>
    <w:rsid w:val="00424553"/>
    <w:rsid w:val="00431DD3"/>
    <w:rsid w:val="00433179"/>
    <w:rsid w:val="00433B16"/>
    <w:rsid w:val="004352BD"/>
    <w:rsid w:val="00441F91"/>
    <w:rsid w:val="00442303"/>
    <w:rsid w:val="004432F0"/>
    <w:rsid w:val="0047262C"/>
    <w:rsid w:val="00483784"/>
    <w:rsid w:val="00484FAD"/>
    <w:rsid w:val="00486041"/>
    <w:rsid w:val="00493C06"/>
    <w:rsid w:val="00497863"/>
    <w:rsid w:val="004A033D"/>
    <w:rsid w:val="004A4F49"/>
    <w:rsid w:val="004A5F5A"/>
    <w:rsid w:val="004A60A5"/>
    <w:rsid w:val="004A7611"/>
    <w:rsid w:val="004B10D5"/>
    <w:rsid w:val="004C28C7"/>
    <w:rsid w:val="004C6E14"/>
    <w:rsid w:val="004C72C7"/>
    <w:rsid w:val="004D42CA"/>
    <w:rsid w:val="004E192D"/>
    <w:rsid w:val="004E2DBE"/>
    <w:rsid w:val="004E3156"/>
    <w:rsid w:val="004E4D43"/>
    <w:rsid w:val="004E52F8"/>
    <w:rsid w:val="004E6E1D"/>
    <w:rsid w:val="004F07F6"/>
    <w:rsid w:val="004F3BCB"/>
    <w:rsid w:val="004F791E"/>
    <w:rsid w:val="0050229F"/>
    <w:rsid w:val="005053EE"/>
    <w:rsid w:val="00506594"/>
    <w:rsid w:val="005066EE"/>
    <w:rsid w:val="00515061"/>
    <w:rsid w:val="005205CE"/>
    <w:rsid w:val="00520EA0"/>
    <w:rsid w:val="00522D68"/>
    <w:rsid w:val="00523198"/>
    <w:rsid w:val="00530AEA"/>
    <w:rsid w:val="0053156A"/>
    <w:rsid w:val="00531E55"/>
    <w:rsid w:val="00533E00"/>
    <w:rsid w:val="00537D8B"/>
    <w:rsid w:val="00540EFE"/>
    <w:rsid w:val="00541393"/>
    <w:rsid w:val="0054387D"/>
    <w:rsid w:val="00543AD0"/>
    <w:rsid w:val="00543B84"/>
    <w:rsid w:val="00555E85"/>
    <w:rsid w:val="00555F60"/>
    <w:rsid w:val="00556A04"/>
    <w:rsid w:val="0056106B"/>
    <w:rsid w:val="005615AF"/>
    <w:rsid w:val="00562A57"/>
    <w:rsid w:val="005637CA"/>
    <w:rsid w:val="00563ADD"/>
    <w:rsid w:val="00564234"/>
    <w:rsid w:val="0057298C"/>
    <w:rsid w:val="00574E3A"/>
    <w:rsid w:val="00577E68"/>
    <w:rsid w:val="0058274A"/>
    <w:rsid w:val="0058527E"/>
    <w:rsid w:val="0058605E"/>
    <w:rsid w:val="005927F2"/>
    <w:rsid w:val="0059779E"/>
    <w:rsid w:val="005A2D2B"/>
    <w:rsid w:val="005A6039"/>
    <w:rsid w:val="005A79B2"/>
    <w:rsid w:val="005B223E"/>
    <w:rsid w:val="005B40B7"/>
    <w:rsid w:val="005D48A0"/>
    <w:rsid w:val="005D5785"/>
    <w:rsid w:val="005E0897"/>
    <w:rsid w:val="005E33F8"/>
    <w:rsid w:val="005F298A"/>
    <w:rsid w:val="005F7BF0"/>
    <w:rsid w:val="00616AE1"/>
    <w:rsid w:val="00620E9C"/>
    <w:rsid w:val="0062152C"/>
    <w:rsid w:val="00621C47"/>
    <w:rsid w:val="006250AB"/>
    <w:rsid w:val="00631EB7"/>
    <w:rsid w:val="006373E4"/>
    <w:rsid w:val="0064017F"/>
    <w:rsid w:val="00647120"/>
    <w:rsid w:val="00651ED1"/>
    <w:rsid w:val="00654586"/>
    <w:rsid w:val="00656D8A"/>
    <w:rsid w:val="0066217D"/>
    <w:rsid w:val="00665617"/>
    <w:rsid w:val="0067092D"/>
    <w:rsid w:val="0067328D"/>
    <w:rsid w:val="00675C82"/>
    <w:rsid w:val="006768ED"/>
    <w:rsid w:val="00677614"/>
    <w:rsid w:val="00677874"/>
    <w:rsid w:val="00680C1D"/>
    <w:rsid w:val="0068362E"/>
    <w:rsid w:val="00684226"/>
    <w:rsid w:val="00684AF9"/>
    <w:rsid w:val="0069075E"/>
    <w:rsid w:val="006941C9"/>
    <w:rsid w:val="006A3574"/>
    <w:rsid w:val="006B5607"/>
    <w:rsid w:val="006B7233"/>
    <w:rsid w:val="006C2820"/>
    <w:rsid w:val="006C427E"/>
    <w:rsid w:val="006D1163"/>
    <w:rsid w:val="006D6C50"/>
    <w:rsid w:val="006E1B80"/>
    <w:rsid w:val="006E3C1F"/>
    <w:rsid w:val="006E41C5"/>
    <w:rsid w:val="006E7853"/>
    <w:rsid w:val="006F4C13"/>
    <w:rsid w:val="006F74DE"/>
    <w:rsid w:val="00705191"/>
    <w:rsid w:val="00705366"/>
    <w:rsid w:val="0070596D"/>
    <w:rsid w:val="007079DE"/>
    <w:rsid w:val="007104FF"/>
    <w:rsid w:val="00711714"/>
    <w:rsid w:val="00714399"/>
    <w:rsid w:val="00714AAD"/>
    <w:rsid w:val="007178A5"/>
    <w:rsid w:val="00717E8C"/>
    <w:rsid w:val="0072083B"/>
    <w:rsid w:val="007212B3"/>
    <w:rsid w:val="0072211C"/>
    <w:rsid w:val="00724D47"/>
    <w:rsid w:val="00725C3C"/>
    <w:rsid w:val="00730D01"/>
    <w:rsid w:val="00731099"/>
    <w:rsid w:val="00732BD9"/>
    <w:rsid w:val="00734784"/>
    <w:rsid w:val="007354C3"/>
    <w:rsid w:val="00736201"/>
    <w:rsid w:val="0074259B"/>
    <w:rsid w:val="00742A82"/>
    <w:rsid w:val="007442B8"/>
    <w:rsid w:val="007456C7"/>
    <w:rsid w:val="00747892"/>
    <w:rsid w:val="00751402"/>
    <w:rsid w:val="00751BB9"/>
    <w:rsid w:val="0076106B"/>
    <w:rsid w:val="00761CB3"/>
    <w:rsid w:val="00764B4D"/>
    <w:rsid w:val="00765554"/>
    <w:rsid w:val="00774EC1"/>
    <w:rsid w:val="00776E4A"/>
    <w:rsid w:val="00781D6D"/>
    <w:rsid w:val="00782179"/>
    <w:rsid w:val="00784860"/>
    <w:rsid w:val="00785871"/>
    <w:rsid w:val="00790AFB"/>
    <w:rsid w:val="007912BE"/>
    <w:rsid w:val="00791525"/>
    <w:rsid w:val="007916CF"/>
    <w:rsid w:val="007946F9"/>
    <w:rsid w:val="00795A3F"/>
    <w:rsid w:val="00795F46"/>
    <w:rsid w:val="007A43A6"/>
    <w:rsid w:val="007B18FA"/>
    <w:rsid w:val="007B3857"/>
    <w:rsid w:val="007B3B17"/>
    <w:rsid w:val="007B3F1C"/>
    <w:rsid w:val="007B704F"/>
    <w:rsid w:val="007C2E27"/>
    <w:rsid w:val="007C616E"/>
    <w:rsid w:val="007D22B1"/>
    <w:rsid w:val="007D2F8B"/>
    <w:rsid w:val="007D44E0"/>
    <w:rsid w:val="007D5902"/>
    <w:rsid w:val="007E59EB"/>
    <w:rsid w:val="007E62AF"/>
    <w:rsid w:val="007F0343"/>
    <w:rsid w:val="007F1BD4"/>
    <w:rsid w:val="007F3473"/>
    <w:rsid w:val="007F353D"/>
    <w:rsid w:val="007F466C"/>
    <w:rsid w:val="007F598E"/>
    <w:rsid w:val="007F7454"/>
    <w:rsid w:val="007F7F91"/>
    <w:rsid w:val="008008E3"/>
    <w:rsid w:val="00802219"/>
    <w:rsid w:val="00803248"/>
    <w:rsid w:val="00803B5E"/>
    <w:rsid w:val="00806C1A"/>
    <w:rsid w:val="00807DB2"/>
    <w:rsid w:val="00810670"/>
    <w:rsid w:val="008116D7"/>
    <w:rsid w:val="00811AA1"/>
    <w:rsid w:val="00814193"/>
    <w:rsid w:val="0081425B"/>
    <w:rsid w:val="00816D08"/>
    <w:rsid w:val="00816E70"/>
    <w:rsid w:val="0082203D"/>
    <w:rsid w:val="0082380A"/>
    <w:rsid w:val="00825037"/>
    <w:rsid w:val="0083017E"/>
    <w:rsid w:val="00831089"/>
    <w:rsid w:val="008345DF"/>
    <w:rsid w:val="0083466D"/>
    <w:rsid w:val="00834B22"/>
    <w:rsid w:val="008353A9"/>
    <w:rsid w:val="00836875"/>
    <w:rsid w:val="008453F3"/>
    <w:rsid w:val="00846136"/>
    <w:rsid w:val="00853752"/>
    <w:rsid w:val="00856F98"/>
    <w:rsid w:val="008577BA"/>
    <w:rsid w:val="00857888"/>
    <w:rsid w:val="00861B1A"/>
    <w:rsid w:val="00861FB4"/>
    <w:rsid w:val="0086773E"/>
    <w:rsid w:val="00872B2D"/>
    <w:rsid w:val="00876F15"/>
    <w:rsid w:val="0088175B"/>
    <w:rsid w:val="00883E20"/>
    <w:rsid w:val="0088460C"/>
    <w:rsid w:val="00884707"/>
    <w:rsid w:val="0088497D"/>
    <w:rsid w:val="0088530C"/>
    <w:rsid w:val="00886E88"/>
    <w:rsid w:val="0089215D"/>
    <w:rsid w:val="00892F83"/>
    <w:rsid w:val="00894E37"/>
    <w:rsid w:val="00895F6B"/>
    <w:rsid w:val="008A0DC7"/>
    <w:rsid w:val="008A14E9"/>
    <w:rsid w:val="008A1768"/>
    <w:rsid w:val="008A2F2B"/>
    <w:rsid w:val="008A3D36"/>
    <w:rsid w:val="008A5C01"/>
    <w:rsid w:val="008A729A"/>
    <w:rsid w:val="008B030D"/>
    <w:rsid w:val="008B64D8"/>
    <w:rsid w:val="008C28EB"/>
    <w:rsid w:val="008C2AC9"/>
    <w:rsid w:val="008C42B1"/>
    <w:rsid w:val="008C6703"/>
    <w:rsid w:val="008C6AA2"/>
    <w:rsid w:val="008C7690"/>
    <w:rsid w:val="008D0D6F"/>
    <w:rsid w:val="008D108B"/>
    <w:rsid w:val="008D1673"/>
    <w:rsid w:val="008D2DF4"/>
    <w:rsid w:val="008D51B7"/>
    <w:rsid w:val="008D79D0"/>
    <w:rsid w:val="008E0B62"/>
    <w:rsid w:val="008E39D5"/>
    <w:rsid w:val="008E3DF2"/>
    <w:rsid w:val="008E4B3B"/>
    <w:rsid w:val="008F1D0F"/>
    <w:rsid w:val="008F3637"/>
    <w:rsid w:val="008F546D"/>
    <w:rsid w:val="008F5CC0"/>
    <w:rsid w:val="008F67F0"/>
    <w:rsid w:val="008F71DA"/>
    <w:rsid w:val="008F76EF"/>
    <w:rsid w:val="009022C4"/>
    <w:rsid w:val="00906119"/>
    <w:rsid w:val="00913992"/>
    <w:rsid w:val="009147A2"/>
    <w:rsid w:val="00915664"/>
    <w:rsid w:val="00920AFC"/>
    <w:rsid w:val="00921F72"/>
    <w:rsid w:val="0092553D"/>
    <w:rsid w:val="00925823"/>
    <w:rsid w:val="00925FE7"/>
    <w:rsid w:val="00931859"/>
    <w:rsid w:val="00932226"/>
    <w:rsid w:val="00935246"/>
    <w:rsid w:val="00935577"/>
    <w:rsid w:val="00940AB2"/>
    <w:rsid w:val="0094387B"/>
    <w:rsid w:val="0094410A"/>
    <w:rsid w:val="009474C8"/>
    <w:rsid w:val="00950EE6"/>
    <w:rsid w:val="00951C87"/>
    <w:rsid w:val="009528B1"/>
    <w:rsid w:val="00955F6F"/>
    <w:rsid w:val="009651D8"/>
    <w:rsid w:val="00967AD0"/>
    <w:rsid w:val="00973328"/>
    <w:rsid w:val="00973649"/>
    <w:rsid w:val="0097776C"/>
    <w:rsid w:val="00980DAC"/>
    <w:rsid w:val="00983390"/>
    <w:rsid w:val="00983CF2"/>
    <w:rsid w:val="0098747C"/>
    <w:rsid w:val="00987C78"/>
    <w:rsid w:val="00992937"/>
    <w:rsid w:val="00993687"/>
    <w:rsid w:val="009938BD"/>
    <w:rsid w:val="00993954"/>
    <w:rsid w:val="009A060B"/>
    <w:rsid w:val="009B1E42"/>
    <w:rsid w:val="009B2ABF"/>
    <w:rsid w:val="009B3559"/>
    <w:rsid w:val="009B3E35"/>
    <w:rsid w:val="009C0FB1"/>
    <w:rsid w:val="009C6A03"/>
    <w:rsid w:val="009C7C4A"/>
    <w:rsid w:val="009D14C5"/>
    <w:rsid w:val="009D3FD7"/>
    <w:rsid w:val="009E1235"/>
    <w:rsid w:val="009E4BBB"/>
    <w:rsid w:val="009E6D65"/>
    <w:rsid w:val="009F1432"/>
    <w:rsid w:val="009F5952"/>
    <w:rsid w:val="009F7288"/>
    <w:rsid w:val="00A05694"/>
    <w:rsid w:val="00A06257"/>
    <w:rsid w:val="00A06EA3"/>
    <w:rsid w:val="00A0773E"/>
    <w:rsid w:val="00A07800"/>
    <w:rsid w:val="00A07E5C"/>
    <w:rsid w:val="00A12128"/>
    <w:rsid w:val="00A128EC"/>
    <w:rsid w:val="00A1300E"/>
    <w:rsid w:val="00A14308"/>
    <w:rsid w:val="00A144B6"/>
    <w:rsid w:val="00A15F70"/>
    <w:rsid w:val="00A2085A"/>
    <w:rsid w:val="00A22EDC"/>
    <w:rsid w:val="00A25B37"/>
    <w:rsid w:val="00A27738"/>
    <w:rsid w:val="00A30EAF"/>
    <w:rsid w:val="00A3335E"/>
    <w:rsid w:val="00A354FE"/>
    <w:rsid w:val="00A36601"/>
    <w:rsid w:val="00A37F81"/>
    <w:rsid w:val="00A442F2"/>
    <w:rsid w:val="00A444CB"/>
    <w:rsid w:val="00A45BCC"/>
    <w:rsid w:val="00A53206"/>
    <w:rsid w:val="00A537E8"/>
    <w:rsid w:val="00A54147"/>
    <w:rsid w:val="00A55AE5"/>
    <w:rsid w:val="00A605F5"/>
    <w:rsid w:val="00A63D1E"/>
    <w:rsid w:val="00A670BC"/>
    <w:rsid w:val="00A70AC3"/>
    <w:rsid w:val="00A716E4"/>
    <w:rsid w:val="00A734A7"/>
    <w:rsid w:val="00A751BB"/>
    <w:rsid w:val="00A829FD"/>
    <w:rsid w:val="00A82F0F"/>
    <w:rsid w:val="00A83205"/>
    <w:rsid w:val="00A83463"/>
    <w:rsid w:val="00A846A1"/>
    <w:rsid w:val="00A84AD6"/>
    <w:rsid w:val="00A86220"/>
    <w:rsid w:val="00A876C5"/>
    <w:rsid w:val="00A878BB"/>
    <w:rsid w:val="00A87D03"/>
    <w:rsid w:val="00A905FF"/>
    <w:rsid w:val="00A90F07"/>
    <w:rsid w:val="00A92BD0"/>
    <w:rsid w:val="00A93892"/>
    <w:rsid w:val="00A97F1F"/>
    <w:rsid w:val="00AA3DC3"/>
    <w:rsid w:val="00AA698C"/>
    <w:rsid w:val="00AA799D"/>
    <w:rsid w:val="00AA7BA8"/>
    <w:rsid w:val="00AB6E42"/>
    <w:rsid w:val="00AC400A"/>
    <w:rsid w:val="00AC5484"/>
    <w:rsid w:val="00AD1572"/>
    <w:rsid w:val="00AD6CD3"/>
    <w:rsid w:val="00AE076F"/>
    <w:rsid w:val="00AE1C4D"/>
    <w:rsid w:val="00AE2C39"/>
    <w:rsid w:val="00AE7575"/>
    <w:rsid w:val="00AF0A4B"/>
    <w:rsid w:val="00AF11D5"/>
    <w:rsid w:val="00AF4D7F"/>
    <w:rsid w:val="00AF5BDC"/>
    <w:rsid w:val="00AF6066"/>
    <w:rsid w:val="00B00096"/>
    <w:rsid w:val="00B0285A"/>
    <w:rsid w:val="00B0397B"/>
    <w:rsid w:val="00B13857"/>
    <w:rsid w:val="00B15A9D"/>
    <w:rsid w:val="00B15B93"/>
    <w:rsid w:val="00B17C9C"/>
    <w:rsid w:val="00B20635"/>
    <w:rsid w:val="00B21185"/>
    <w:rsid w:val="00B22803"/>
    <w:rsid w:val="00B238EE"/>
    <w:rsid w:val="00B32D1F"/>
    <w:rsid w:val="00B32E79"/>
    <w:rsid w:val="00B33751"/>
    <w:rsid w:val="00B346E9"/>
    <w:rsid w:val="00B35162"/>
    <w:rsid w:val="00B503F0"/>
    <w:rsid w:val="00B60149"/>
    <w:rsid w:val="00B612E4"/>
    <w:rsid w:val="00B70A71"/>
    <w:rsid w:val="00B71F00"/>
    <w:rsid w:val="00B74618"/>
    <w:rsid w:val="00B74C1F"/>
    <w:rsid w:val="00B7696A"/>
    <w:rsid w:val="00B77056"/>
    <w:rsid w:val="00B90024"/>
    <w:rsid w:val="00B900BE"/>
    <w:rsid w:val="00B901C7"/>
    <w:rsid w:val="00B917FB"/>
    <w:rsid w:val="00B928B9"/>
    <w:rsid w:val="00B93890"/>
    <w:rsid w:val="00B94209"/>
    <w:rsid w:val="00B9581A"/>
    <w:rsid w:val="00BA2AC9"/>
    <w:rsid w:val="00BA6983"/>
    <w:rsid w:val="00BA7E5C"/>
    <w:rsid w:val="00BB07CB"/>
    <w:rsid w:val="00BB08AC"/>
    <w:rsid w:val="00BB4211"/>
    <w:rsid w:val="00BC56FF"/>
    <w:rsid w:val="00BC7242"/>
    <w:rsid w:val="00BC743D"/>
    <w:rsid w:val="00BD2E64"/>
    <w:rsid w:val="00BD7A77"/>
    <w:rsid w:val="00BD7B3A"/>
    <w:rsid w:val="00BF23FD"/>
    <w:rsid w:val="00BF2751"/>
    <w:rsid w:val="00BF2938"/>
    <w:rsid w:val="00BF4268"/>
    <w:rsid w:val="00BF438D"/>
    <w:rsid w:val="00C00A75"/>
    <w:rsid w:val="00C04EB0"/>
    <w:rsid w:val="00C132B0"/>
    <w:rsid w:val="00C1454B"/>
    <w:rsid w:val="00C20D1A"/>
    <w:rsid w:val="00C34C51"/>
    <w:rsid w:val="00C35EFE"/>
    <w:rsid w:val="00C37956"/>
    <w:rsid w:val="00C37FC6"/>
    <w:rsid w:val="00C401D8"/>
    <w:rsid w:val="00C45F7E"/>
    <w:rsid w:val="00C47AB8"/>
    <w:rsid w:val="00C5731C"/>
    <w:rsid w:val="00C600F3"/>
    <w:rsid w:val="00C61B6E"/>
    <w:rsid w:val="00C651FB"/>
    <w:rsid w:val="00C65CD2"/>
    <w:rsid w:val="00C67C40"/>
    <w:rsid w:val="00C831E9"/>
    <w:rsid w:val="00C84F1E"/>
    <w:rsid w:val="00C90761"/>
    <w:rsid w:val="00C910D3"/>
    <w:rsid w:val="00C94A6E"/>
    <w:rsid w:val="00C9631A"/>
    <w:rsid w:val="00C96B82"/>
    <w:rsid w:val="00CA043F"/>
    <w:rsid w:val="00CA2C14"/>
    <w:rsid w:val="00CA51DD"/>
    <w:rsid w:val="00CA6B09"/>
    <w:rsid w:val="00CB52AB"/>
    <w:rsid w:val="00CB56E4"/>
    <w:rsid w:val="00CC2963"/>
    <w:rsid w:val="00CC2C48"/>
    <w:rsid w:val="00CC3EE6"/>
    <w:rsid w:val="00CC4351"/>
    <w:rsid w:val="00CC4569"/>
    <w:rsid w:val="00CC4A7B"/>
    <w:rsid w:val="00CC4E1C"/>
    <w:rsid w:val="00CD3BD6"/>
    <w:rsid w:val="00CD4880"/>
    <w:rsid w:val="00CD5A7C"/>
    <w:rsid w:val="00CE0522"/>
    <w:rsid w:val="00CE2BFA"/>
    <w:rsid w:val="00CE313E"/>
    <w:rsid w:val="00CE4A46"/>
    <w:rsid w:val="00CE77BD"/>
    <w:rsid w:val="00CF13CE"/>
    <w:rsid w:val="00CF2A29"/>
    <w:rsid w:val="00CF5FA9"/>
    <w:rsid w:val="00CF699B"/>
    <w:rsid w:val="00CF6BB9"/>
    <w:rsid w:val="00D00F16"/>
    <w:rsid w:val="00D02990"/>
    <w:rsid w:val="00D03CFE"/>
    <w:rsid w:val="00D06923"/>
    <w:rsid w:val="00D16BFC"/>
    <w:rsid w:val="00D22450"/>
    <w:rsid w:val="00D2554A"/>
    <w:rsid w:val="00D348B0"/>
    <w:rsid w:val="00D34BAD"/>
    <w:rsid w:val="00D35FCF"/>
    <w:rsid w:val="00D4008A"/>
    <w:rsid w:val="00D43458"/>
    <w:rsid w:val="00D434E6"/>
    <w:rsid w:val="00D50E1F"/>
    <w:rsid w:val="00D6470D"/>
    <w:rsid w:val="00D65C6D"/>
    <w:rsid w:val="00D66ABD"/>
    <w:rsid w:val="00D726FF"/>
    <w:rsid w:val="00D742F8"/>
    <w:rsid w:val="00D7475C"/>
    <w:rsid w:val="00D75C08"/>
    <w:rsid w:val="00D804D5"/>
    <w:rsid w:val="00D8404F"/>
    <w:rsid w:val="00D8475E"/>
    <w:rsid w:val="00D93082"/>
    <w:rsid w:val="00D93819"/>
    <w:rsid w:val="00D95133"/>
    <w:rsid w:val="00D95929"/>
    <w:rsid w:val="00D97BC5"/>
    <w:rsid w:val="00DA063C"/>
    <w:rsid w:val="00DA1175"/>
    <w:rsid w:val="00DA3D23"/>
    <w:rsid w:val="00DA6F5A"/>
    <w:rsid w:val="00DA7B85"/>
    <w:rsid w:val="00DB00B3"/>
    <w:rsid w:val="00DB0898"/>
    <w:rsid w:val="00DB1352"/>
    <w:rsid w:val="00DB2BCF"/>
    <w:rsid w:val="00DB45AB"/>
    <w:rsid w:val="00DB5A13"/>
    <w:rsid w:val="00DB6F68"/>
    <w:rsid w:val="00DB6FF3"/>
    <w:rsid w:val="00DB72BE"/>
    <w:rsid w:val="00DC19F3"/>
    <w:rsid w:val="00DD0E41"/>
    <w:rsid w:val="00DD0E4D"/>
    <w:rsid w:val="00DD2861"/>
    <w:rsid w:val="00DD57F9"/>
    <w:rsid w:val="00DE6139"/>
    <w:rsid w:val="00DF38A3"/>
    <w:rsid w:val="00DF6053"/>
    <w:rsid w:val="00DF721F"/>
    <w:rsid w:val="00E0447B"/>
    <w:rsid w:val="00E04E5B"/>
    <w:rsid w:val="00E105F0"/>
    <w:rsid w:val="00E10F2D"/>
    <w:rsid w:val="00E1355F"/>
    <w:rsid w:val="00E14687"/>
    <w:rsid w:val="00E15863"/>
    <w:rsid w:val="00E259A4"/>
    <w:rsid w:val="00E2645D"/>
    <w:rsid w:val="00E27CDB"/>
    <w:rsid w:val="00E300CD"/>
    <w:rsid w:val="00E304BA"/>
    <w:rsid w:val="00E3749C"/>
    <w:rsid w:val="00E43F63"/>
    <w:rsid w:val="00E45474"/>
    <w:rsid w:val="00E55936"/>
    <w:rsid w:val="00E60B11"/>
    <w:rsid w:val="00E60F06"/>
    <w:rsid w:val="00E6470D"/>
    <w:rsid w:val="00E6721C"/>
    <w:rsid w:val="00E769B5"/>
    <w:rsid w:val="00E81310"/>
    <w:rsid w:val="00E836FC"/>
    <w:rsid w:val="00E83AE5"/>
    <w:rsid w:val="00E86BA2"/>
    <w:rsid w:val="00E907C2"/>
    <w:rsid w:val="00E94386"/>
    <w:rsid w:val="00E95338"/>
    <w:rsid w:val="00EB6892"/>
    <w:rsid w:val="00EB7A14"/>
    <w:rsid w:val="00EC02DE"/>
    <w:rsid w:val="00EC607C"/>
    <w:rsid w:val="00ED2F05"/>
    <w:rsid w:val="00EE1ABF"/>
    <w:rsid w:val="00EE20FC"/>
    <w:rsid w:val="00EF447A"/>
    <w:rsid w:val="00EF571F"/>
    <w:rsid w:val="00EF5C2D"/>
    <w:rsid w:val="00EF7223"/>
    <w:rsid w:val="00F014E1"/>
    <w:rsid w:val="00F02A4D"/>
    <w:rsid w:val="00F03F25"/>
    <w:rsid w:val="00F147C7"/>
    <w:rsid w:val="00F20DA4"/>
    <w:rsid w:val="00F30981"/>
    <w:rsid w:val="00F30E63"/>
    <w:rsid w:val="00F341ED"/>
    <w:rsid w:val="00F4265C"/>
    <w:rsid w:val="00F53085"/>
    <w:rsid w:val="00F53DC9"/>
    <w:rsid w:val="00F54808"/>
    <w:rsid w:val="00F55449"/>
    <w:rsid w:val="00F60A09"/>
    <w:rsid w:val="00F62961"/>
    <w:rsid w:val="00F63B0B"/>
    <w:rsid w:val="00F64A88"/>
    <w:rsid w:val="00F71487"/>
    <w:rsid w:val="00F75C09"/>
    <w:rsid w:val="00F763B1"/>
    <w:rsid w:val="00F80207"/>
    <w:rsid w:val="00F81550"/>
    <w:rsid w:val="00F83D91"/>
    <w:rsid w:val="00F865D2"/>
    <w:rsid w:val="00F9093D"/>
    <w:rsid w:val="00F90A5E"/>
    <w:rsid w:val="00F90CBD"/>
    <w:rsid w:val="00F92C61"/>
    <w:rsid w:val="00F94984"/>
    <w:rsid w:val="00FA0A3C"/>
    <w:rsid w:val="00FA0F83"/>
    <w:rsid w:val="00FA20E7"/>
    <w:rsid w:val="00FA64C9"/>
    <w:rsid w:val="00FA76CF"/>
    <w:rsid w:val="00FB01E1"/>
    <w:rsid w:val="00FB085B"/>
    <w:rsid w:val="00FB20E1"/>
    <w:rsid w:val="00FB435B"/>
    <w:rsid w:val="00FC3387"/>
    <w:rsid w:val="00FC5391"/>
    <w:rsid w:val="00FC7EEE"/>
    <w:rsid w:val="00FD2198"/>
    <w:rsid w:val="00FD3E7C"/>
    <w:rsid w:val="00FD44EB"/>
    <w:rsid w:val="00FD5ECE"/>
    <w:rsid w:val="00FE06E8"/>
    <w:rsid w:val="00FE2A98"/>
    <w:rsid w:val="00FE4B4E"/>
    <w:rsid w:val="00FE632F"/>
    <w:rsid w:val="00FF1370"/>
    <w:rsid w:val="00FF36F5"/>
    <w:rsid w:val="00FF4973"/>
    <w:rsid w:val="00FF50EB"/>
    <w:rsid w:val="00FF64BD"/>
    <w:rsid w:val="00FF6FF3"/>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7E357"/>
  <w14:defaultImageDpi w14:val="330"/>
  <w15:docId w15:val="{D27E863A-4AB3-4CD5-93C2-0AA3D24E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5902"/>
    <w:rPr>
      <w:color w:val="595959" w:themeColor="text1" w:themeTint="A6"/>
    </w:rPr>
  </w:style>
  <w:style w:type="paragraph" w:styleId="Heading1">
    <w:name w:val="heading 1"/>
    <w:basedOn w:val="Normal"/>
    <w:link w:val="Heading1Char"/>
    <w:qFormat/>
    <w:rsid w:val="00654586"/>
    <w:pPr>
      <w:keepNext/>
      <w:numPr>
        <w:numId w:val="2"/>
      </w:numPr>
      <w:spacing w:before="160" w:line="240" w:lineRule="auto"/>
      <w:ind w:left="360"/>
      <w:outlineLvl w:val="0"/>
    </w:pPr>
    <w:rPr>
      <w:rFonts w:asciiTheme="majorHAnsi" w:eastAsiaTheme="majorEastAsia" w:hAnsiTheme="majorHAnsi" w:cstheme="majorBidi"/>
      <w:color w:val="009999"/>
      <w:sz w:val="32"/>
      <w:szCs w:val="32"/>
    </w:rPr>
  </w:style>
  <w:style w:type="paragraph" w:styleId="Heading2">
    <w:name w:val="heading 2"/>
    <w:basedOn w:val="Normal"/>
    <w:link w:val="Heading2Char"/>
    <w:qFormat/>
    <w:rsid w:val="00306F25"/>
    <w:pPr>
      <w:keepNext/>
      <w:tabs>
        <w:tab w:val="left" w:pos="1440"/>
      </w:tabs>
      <w:spacing w:before="360" w:after="120" w:line="280" w:lineRule="exact"/>
      <w:outlineLvl w:val="1"/>
    </w:pPr>
    <w:rPr>
      <w:rFonts w:asciiTheme="minorHAnsi" w:eastAsia="Times New Roman" w:hAnsiTheme="minorHAnsi" w:cs="Arial"/>
      <w:b/>
      <w:bCs/>
      <w:spacing w:val="-8"/>
      <w:sz w:val="28"/>
    </w:rPr>
  </w:style>
  <w:style w:type="paragraph" w:styleId="Heading3">
    <w:name w:val="heading 3"/>
    <w:basedOn w:val="Normal"/>
    <w:link w:val="Heading3Char"/>
    <w:qFormat/>
    <w:rsid w:val="00D8404F"/>
    <w:pPr>
      <w:keepNext/>
      <w:tabs>
        <w:tab w:val="left" w:pos="2340"/>
      </w:tabs>
      <w:spacing w:before="240" w:after="60" w:line="240" w:lineRule="auto"/>
      <w:outlineLvl w:val="2"/>
    </w:pPr>
    <w:rPr>
      <w:rFonts w:eastAsia="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3687"/>
    <w:pPr>
      <w:spacing w:before="480" w:after="480" w:line="240" w:lineRule="auto"/>
      <w:ind w:left="720"/>
    </w:pPr>
    <w:rPr>
      <w:rFonts w:ascii="Verdana" w:eastAsia="Times New Roman" w:hAnsi="Verdana" w:cs="Arial"/>
      <w:b/>
      <w:bCs/>
      <w:kern w:val="28"/>
      <w:sz w:val="34"/>
      <w:szCs w:val="32"/>
    </w:rPr>
  </w:style>
  <w:style w:type="character" w:customStyle="1" w:styleId="TitleChar">
    <w:name w:val="Title Char"/>
    <w:basedOn w:val="DefaultParagraphFont"/>
    <w:link w:val="Title"/>
    <w:rsid w:val="00993687"/>
    <w:rPr>
      <w:rFonts w:ascii="Verdana" w:eastAsia="Times New Roman" w:hAnsi="Verdana" w:cs="Arial"/>
      <w:b/>
      <w:bCs/>
      <w:kern w:val="28"/>
      <w:sz w:val="34"/>
      <w:szCs w:val="32"/>
    </w:rPr>
  </w:style>
  <w:style w:type="paragraph" w:styleId="Subtitle">
    <w:name w:val="Subtitle"/>
    <w:basedOn w:val="Normal"/>
    <w:link w:val="SubtitleChar"/>
    <w:qFormat/>
    <w:rsid w:val="00AF11D5"/>
    <w:pPr>
      <w:spacing w:after="240" w:line="240" w:lineRule="auto"/>
      <w:ind w:left="720"/>
    </w:pPr>
    <w:rPr>
      <w:rFonts w:ascii="Verdana" w:eastAsia="Times New Roman" w:hAnsi="Verdana" w:cs="Arial"/>
      <w:b/>
      <w:sz w:val="26"/>
      <w:szCs w:val="24"/>
    </w:rPr>
  </w:style>
  <w:style w:type="character" w:customStyle="1" w:styleId="SubtitleChar">
    <w:name w:val="Subtitle Char"/>
    <w:basedOn w:val="DefaultParagraphFont"/>
    <w:link w:val="Subtitle"/>
    <w:rsid w:val="00AF11D5"/>
    <w:rPr>
      <w:rFonts w:ascii="Verdana" w:eastAsia="Times New Roman" w:hAnsi="Verdana" w:cs="Arial"/>
      <w:b/>
      <w:sz w:val="26"/>
      <w:szCs w:val="24"/>
    </w:rPr>
  </w:style>
  <w:style w:type="paragraph" w:styleId="EndnoteText">
    <w:name w:val="endnote text"/>
    <w:basedOn w:val="Normal"/>
    <w:link w:val="EndnoteTextChar"/>
    <w:semiHidden/>
    <w:rsid w:val="00433179"/>
    <w:pPr>
      <w:spacing w:after="60" w:line="240" w:lineRule="auto"/>
      <w:jc w:val="right"/>
    </w:pPr>
    <w:rPr>
      <w:rFonts w:ascii="Verdana" w:eastAsia="Times New Roman" w:hAnsi="Verdana" w:cs="Times New Roman"/>
      <w:sz w:val="14"/>
      <w:szCs w:val="20"/>
    </w:rPr>
  </w:style>
  <w:style w:type="character" w:customStyle="1" w:styleId="EndnoteTextChar">
    <w:name w:val="Endnote Text Char"/>
    <w:basedOn w:val="DefaultParagraphFont"/>
    <w:link w:val="EndnoteText"/>
    <w:semiHidden/>
    <w:rsid w:val="00433179"/>
    <w:rPr>
      <w:rFonts w:ascii="Verdana" w:eastAsia="Times New Roman" w:hAnsi="Verdana" w:cs="Times New Roman"/>
      <w:sz w:val="14"/>
      <w:szCs w:val="20"/>
    </w:rPr>
  </w:style>
  <w:style w:type="paragraph" w:styleId="Header">
    <w:name w:val="header"/>
    <w:basedOn w:val="Normal"/>
    <w:link w:val="HeaderChar"/>
    <w:uiPriority w:val="99"/>
    <w:unhideWhenUsed/>
    <w:rsid w:val="00C9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A6E"/>
  </w:style>
  <w:style w:type="paragraph" w:styleId="Footer">
    <w:name w:val="footer"/>
    <w:basedOn w:val="Normal"/>
    <w:link w:val="FooterChar"/>
    <w:uiPriority w:val="99"/>
    <w:unhideWhenUsed/>
    <w:rsid w:val="00C9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A6E"/>
  </w:style>
  <w:style w:type="character" w:customStyle="1" w:styleId="Heading1Char">
    <w:name w:val="Heading 1 Char"/>
    <w:basedOn w:val="DefaultParagraphFont"/>
    <w:link w:val="Heading1"/>
    <w:rsid w:val="00654586"/>
    <w:rPr>
      <w:rFonts w:asciiTheme="majorHAnsi" w:eastAsiaTheme="majorEastAsia" w:hAnsiTheme="majorHAnsi" w:cstheme="majorBidi"/>
      <w:color w:val="009999"/>
      <w:sz w:val="32"/>
      <w:szCs w:val="32"/>
    </w:rPr>
  </w:style>
  <w:style w:type="paragraph" w:styleId="TOCHeading">
    <w:name w:val="TOC Heading"/>
    <w:basedOn w:val="Heading1"/>
    <w:next w:val="Normal"/>
    <w:uiPriority w:val="39"/>
    <w:unhideWhenUsed/>
    <w:qFormat/>
    <w:rsid w:val="008453F3"/>
    <w:pPr>
      <w:numPr>
        <w:numId w:val="0"/>
      </w:numPr>
      <w:outlineLvl w:val="9"/>
    </w:pPr>
  </w:style>
  <w:style w:type="paragraph" w:styleId="TOC1">
    <w:name w:val="toc 1"/>
    <w:basedOn w:val="Normal"/>
    <w:next w:val="Normal"/>
    <w:autoRedefine/>
    <w:uiPriority w:val="39"/>
    <w:unhideWhenUsed/>
    <w:rsid w:val="00D8404F"/>
    <w:pPr>
      <w:tabs>
        <w:tab w:val="left" w:pos="360"/>
        <w:tab w:val="left" w:pos="720"/>
        <w:tab w:val="right" w:leader="dot" w:pos="9350"/>
      </w:tabs>
      <w:spacing w:after="100"/>
    </w:pPr>
  </w:style>
  <w:style w:type="paragraph" w:styleId="TOC2">
    <w:name w:val="toc 2"/>
    <w:basedOn w:val="Normal"/>
    <w:next w:val="Normal"/>
    <w:autoRedefine/>
    <w:uiPriority w:val="39"/>
    <w:unhideWhenUsed/>
    <w:rsid w:val="00E836FC"/>
    <w:pPr>
      <w:tabs>
        <w:tab w:val="right" w:leader="dot" w:pos="9350"/>
      </w:tabs>
      <w:spacing w:after="100"/>
      <w:ind w:left="720"/>
    </w:pPr>
    <w:rPr>
      <w:noProof/>
    </w:rPr>
  </w:style>
  <w:style w:type="character" w:styleId="Hyperlink">
    <w:name w:val="Hyperlink"/>
    <w:basedOn w:val="DefaultParagraphFont"/>
    <w:uiPriority w:val="99"/>
    <w:unhideWhenUsed/>
    <w:rsid w:val="009E4BBB"/>
    <w:rPr>
      <w:color w:val="0563C1" w:themeColor="hyperlink"/>
      <w:u w:val="single"/>
    </w:rPr>
  </w:style>
  <w:style w:type="character" w:customStyle="1" w:styleId="Heading2Char">
    <w:name w:val="Heading 2 Char"/>
    <w:basedOn w:val="DefaultParagraphFont"/>
    <w:link w:val="Heading2"/>
    <w:rsid w:val="00306F25"/>
    <w:rPr>
      <w:rFonts w:asciiTheme="minorHAnsi" w:eastAsia="Times New Roman" w:hAnsiTheme="minorHAnsi" w:cs="Arial"/>
      <w:b/>
      <w:bCs/>
      <w:color w:val="595959" w:themeColor="text1" w:themeTint="A6"/>
      <w:spacing w:val="-8"/>
      <w:sz w:val="28"/>
    </w:rPr>
  </w:style>
  <w:style w:type="character" w:customStyle="1" w:styleId="Heading3Char">
    <w:name w:val="Heading 3 Char"/>
    <w:basedOn w:val="DefaultParagraphFont"/>
    <w:link w:val="Heading3"/>
    <w:rsid w:val="00D8404F"/>
    <w:rPr>
      <w:rFonts w:eastAsia="Times New Roman" w:cs="Arial"/>
      <w:b/>
      <w:bCs/>
      <w:szCs w:val="26"/>
    </w:rPr>
  </w:style>
  <w:style w:type="paragraph" w:styleId="BodyText">
    <w:name w:val="Body Text"/>
    <w:basedOn w:val="Normal"/>
    <w:link w:val="BodyTextChar"/>
    <w:rsid w:val="00993687"/>
    <w:pPr>
      <w:spacing w:line="280" w:lineRule="exact"/>
    </w:pPr>
    <w:rPr>
      <w:rFonts w:eastAsia="Times New Roman" w:cs="Times New Roman"/>
      <w:spacing w:val="-4"/>
      <w:szCs w:val="20"/>
    </w:rPr>
  </w:style>
  <w:style w:type="character" w:customStyle="1" w:styleId="BodyTextChar">
    <w:name w:val="Body Text Char"/>
    <w:basedOn w:val="DefaultParagraphFont"/>
    <w:link w:val="BodyText"/>
    <w:rsid w:val="00993687"/>
    <w:rPr>
      <w:rFonts w:ascii="Garamond" w:eastAsia="Times New Roman" w:hAnsi="Garamond" w:cs="Times New Roman"/>
      <w:spacing w:val="-4"/>
      <w:szCs w:val="20"/>
    </w:rPr>
  </w:style>
  <w:style w:type="paragraph" w:styleId="BodyTextIndent">
    <w:name w:val="Body Text Indent"/>
    <w:basedOn w:val="BodyText"/>
    <w:link w:val="BodyTextIndentChar"/>
    <w:rsid w:val="00564234"/>
    <w:pPr>
      <w:spacing w:after="120"/>
      <w:ind w:left="720"/>
    </w:pPr>
    <w:rPr>
      <w:szCs w:val="24"/>
    </w:rPr>
  </w:style>
  <w:style w:type="character" w:customStyle="1" w:styleId="BodyTextIndentChar">
    <w:name w:val="Body Text Indent Char"/>
    <w:basedOn w:val="DefaultParagraphFont"/>
    <w:link w:val="BodyTextIndent"/>
    <w:rsid w:val="00564234"/>
    <w:rPr>
      <w:rFonts w:ascii="Garamond" w:eastAsia="Times New Roman" w:hAnsi="Garamond" w:cs="Times New Roman"/>
      <w:spacing w:val="-4"/>
      <w:szCs w:val="24"/>
    </w:rPr>
  </w:style>
  <w:style w:type="paragraph" w:styleId="BodyTextIndent2">
    <w:name w:val="Body Text Indent 2"/>
    <w:basedOn w:val="Normal"/>
    <w:link w:val="BodyTextIndent2Char"/>
    <w:rsid w:val="009E4BBB"/>
    <w:pPr>
      <w:spacing w:after="120" w:line="280" w:lineRule="exact"/>
      <w:ind w:left="1440"/>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rsid w:val="009E4BBB"/>
    <w:rPr>
      <w:rFonts w:ascii="Verdana" w:eastAsia="Times New Roman" w:hAnsi="Verdana" w:cs="Times New Roman"/>
      <w:sz w:val="20"/>
      <w:szCs w:val="24"/>
    </w:rPr>
  </w:style>
  <w:style w:type="paragraph" w:styleId="ListBullet">
    <w:name w:val="List Bullet"/>
    <w:basedOn w:val="Normal"/>
    <w:autoRedefine/>
    <w:rsid w:val="007F3473"/>
    <w:pPr>
      <w:tabs>
        <w:tab w:val="left" w:pos="288"/>
      </w:tabs>
      <w:spacing w:line="280" w:lineRule="exact"/>
    </w:pPr>
    <w:rPr>
      <w:rFonts w:eastAsia="Times New Roman" w:cs="Times New Roman"/>
      <w:spacing w:val="-4"/>
      <w:szCs w:val="20"/>
    </w:rPr>
  </w:style>
  <w:style w:type="paragraph" w:styleId="ListBullet2">
    <w:name w:val="List Bullet 2"/>
    <w:basedOn w:val="Normal"/>
    <w:autoRedefine/>
    <w:rsid w:val="00F865D2"/>
    <w:pPr>
      <w:numPr>
        <w:numId w:val="1"/>
      </w:numPr>
      <w:tabs>
        <w:tab w:val="left" w:pos="288"/>
      </w:tabs>
      <w:spacing w:line="280" w:lineRule="exact"/>
    </w:pPr>
    <w:rPr>
      <w:rFonts w:eastAsia="Times New Roman" w:cs="Times New Roman"/>
      <w:szCs w:val="20"/>
    </w:rPr>
  </w:style>
  <w:style w:type="paragraph" w:styleId="TableofAuthorities">
    <w:name w:val="table of authorities"/>
    <w:basedOn w:val="BodyText"/>
    <w:next w:val="Normal"/>
    <w:semiHidden/>
    <w:rsid w:val="009E4BBB"/>
    <w:pPr>
      <w:spacing w:before="40" w:after="40" w:line="240" w:lineRule="exact"/>
      <w:ind w:left="245" w:hanging="245"/>
    </w:pPr>
  </w:style>
  <w:style w:type="paragraph" w:styleId="BodyTextIndent3">
    <w:name w:val="Body Text Indent 3"/>
    <w:basedOn w:val="Normal"/>
    <w:link w:val="BodyTextIndent3Char"/>
    <w:uiPriority w:val="99"/>
    <w:semiHidden/>
    <w:unhideWhenUsed/>
    <w:rsid w:val="009E4BB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4BBB"/>
    <w:rPr>
      <w:sz w:val="16"/>
      <w:szCs w:val="16"/>
    </w:rPr>
  </w:style>
  <w:style w:type="paragraph" w:styleId="TOC3">
    <w:name w:val="toc 3"/>
    <w:basedOn w:val="Normal"/>
    <w:next w:val="Normal"/>
    <w:autoRedefine/>
    <w:uiPriority w:val="39"/>
    <w:unhideWhenUsed/>
    <w:rsid w:val="00CD4880"/>
    <w:pPr>
      <w:tabs>
        <w:tab w:val="left" w:pos="1080"/>
        <w:tab w:val="right" w:leader="dot" w:pos="9360"/>
      </w:tabs>
      <w:spacing w:after="100"/>
      <w:ind w:left="446" w:firstLine="1080"/>
    </w:pPr>
  </w:style>
  <w:style w:type="paragraph" w:styleId="TableofFigures">
    <w:name w:val="table of figures"/>
    <w:basedOn w:val="Normal"/>
    <w:next w:val="Normal"/>
    <w:uiPriority w:val="99"/>
    <w:unhideWhenUsed/>
    <w:rsid w:val="00D8404F"/>
    <w:pPr>
      <w:spacing w:after="0"/>
    </w:pPr>
  </w:style>
  <w:style w:type="paragraph" w:styleId="ListNumber">
    <w:name w:val="List Number"/>
    <w:basedOn w:val="Normal"/>
    <w:uiPriority w:val="99"/>
    <w:unhideWhenUsed/>
    <w:rsid w:val="00564234"/>
    <w:pPr>
      <w:numPr>
        <w:numId w:val="3"/>
      </w:numPr>
      <w:spacing w:line="280" w:lineRule="exact"/>
    </w:pPr>
  </w:style>
  <w:style w:type="paragraph" w:customStyle="1" w:styleId="TableHead">
    <w:name w:val="Table Head"/>
    <w:basedOn w:val="TableofAuthorities"/>
    <w:next w:val="TableofAuthorities"/>
    <w:qFormat/>
    <w:rsid w:val="00146835"/>
    <w:rPr>
      <w:rFonts w:asciiTheme="minorHAnsi" w:hAnsiTheme="minorHAnsi"/>
      <w:b/>
    </w:rPr>
  </w:style>
  <w:style w:type="paragraph" w:styleId="BlockText">
    <w:name w:val="Block Text"/>
    <w:basedOn w:val="Normal"/>
    <w:uiPriority w:val="99"/>
    <w:semiHidden/>
    <w:unhideWhenUsed/>
    <w:rsid w:val="00CB52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alloonText">
    <w:name w:val="Balloon Text"/>
    <w:basedOn w:val="Normal"/>
    <w:link w:val="BalloonTextChar"/>
    <w:uiPriority w:val="99"/>
    <w:semiHidden/>
    <w:unhideWhenUsed/>
    <w:rsid w:val="00B90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C7"/>
    <w:rPr>
      <w:rFonts w:ascii="Tahoma" w:hAnsi="Tahoma" w:cs="Tahoma"/>
      <w:sz w:val="16"/>
      <w:szCs w:val="16"/>
    </w:rPr>
  </w:style>
  <w:style w:type="character" w:styleId="CommentReference">
    <w:name w:val="annotation reference"/>
    <w:basedOn w:val="DefaultParagraphFont"/>
    <w:uiPriority w:val="99"/>
    <w:semiHidden/>
    <w:unhideWhenUsed/>
    <w:rsid w:val="0097776C"/>
    <w:rPr>
      <w:sz w:val="16"/>
      <w:szCs w:val="16"/>
    </w:rPr>
  </w:style>
  <w:style w:type="paragraph" w:styleId="CommentText">
    <w:name w:val="annotation text"/>
    <w:basedOn w:val="Normal"/>
    <w:link w:val="CommentTextChar"/>
    <w:uiPriority w:val="99"/>
    <w:semiHidden/>
    <w:unhideWhenUsed/>
    <w:rsid w:val="0097776C"/>
    <w:pPr>
      <w:spacing w:line="240" w:lineRule="auto"/>
    </w:pPr>
    <w:rPr>
      <w:sz w:val="20"/>
      <w:szCs w:val="20"/>
    </w:rPr>
  </w:style>
  <w:style w:type="character" w:customStyle="1" w:styleId="CommentTextChar">
    <w:name w:val="Comment Text Char"/>
    <w:basedOn w:val="DefaultParagraphFont"/>
    <w:link w:val="CommentText"/>
    <w:uiPriority w:val="99"/>
    <w:semiHidden/>
    <w:rsid w:val="0097776C"/>
    <w:rPr>
      <w:sz w:val="20"/>
      <w:szCs w:val="20"/>
    </w:rPr>
  </w:style>
  <w:style w:type="paragraph" w:styleId="CommentSubject">
    <w:name w:val="annotation subject"/>
    <w:basedOn w:val="CommentText"/>
    <w:next w:val="CommentText"/>
    <w:link w:val="CommentSubjectChar"/>
    <w:uiPriority w:val="99"/>
    <w:semiHidden/>
    <w:unhideWhenUsed/>
    <w:rsid w:val="0097776C"/>
    <w:rPr>
      <w:b/>
      <w:bCs/>
    </w:rPr>
  </w:style>
  <w:style w:type="character" w:customStyle="1" w:styleId="CommentSubjectChar">
    <w:name w:val="Comment Subject Char"/>
    <w:basedOn w:val="CommentTextChar"/>
    <w:link w:val="CommentSubject"/>
    <w:uiPriority w:val="99"/>
    <w:semiHidden/>
    <w:rsid w:val="0097776C"/>
    <w:rPr>
      <w:b/>
      <w:bCs/>
      <w:sz w:val="20"/>
      <w:szCs w:val="20"/>
    </w:rPr>
  </w:style>
  <w:style w:type="table" w:styleId="TableGrid">
    <w:name w:val="Table Grid"/>
    <w:basedOn w:val="TableNormal"/>
    <w:uiPriority w:val="39"/>
    <w:rsid w:val="002C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3"/>
    <w:basedOn w:val="Normal"/>
    <w:uiPriority w:val="34"/>
    <w:qFormat/>
    <w:rsid w:val="0042005C"/>
    <w:pPr>
      <w:ind w:left="720"/>
      <w:contextualSpacing/>
    </w:pPr>
  </w:style>
  <w:style w:type="character" w:styleId="PlaceholderText">
    <w:name w:val="Placeholder Text"/>
    <w:basedOn w:val="DefaultParagraphFont"/>
    <w:uiPriority w:val="99"/>
    <w:semiHidden/>
    <w:rsid w:val="00141587"/>
    <w:rPr>
      <w:color w:val="808080"/>
    </w:rPr>
  </w:style>
  <w:style w:type="table" w:customStyle="1" w:styleId="ProposalTable">
    <w:name w:val="Proposal Table"/>
    <w:basedOn w:val="TableNormal"/>
    <w:uiPriority w:val="99"/>
    <w:rsid w:val="00395873"/>
    <w:pPr>
      <w:spacing w:before="120" w:after="120" w:line="240" w:lineRule="auto"/>
    </w:pPr>
    <w:rPr>
      <w:color w:val="404040" w:themeColor="text1" w:themeTint="BF"/>
      <w:sz w:val="18"/>
      <w:szCs w:val="18"/>
      <w:lang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table" w:styleId="GridTable1Light">
    <w:name w:val="Grid Table 1 Light"/>
    <w:basedOn w:val="TableNormal"/>
    <w:uiPriority w:val="46"/>
    <w:rsid w:val="003958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oposalTitle">
    <w:name w:val="Proposal Title"/>
    <w:basedOn w:val="Heading1"/>
    <w:link w:val="ProposalTitleChar"/>
    <w:autoRedefine/>
    <w:qFormat/>
    <w:rsid w:val="00814193"/>
    <w:pPr>
      <w:numPr>
        <w:numId w:val="0"/>
      </w:numPr>
    </w:pPr>
    <w:rPr>
      <w:caps/>
      <w:sz w:val="68"/>
      <w:szCs w:val="96"/>
    </w:rPr>
  </w:style>
  <w:style w:type="table" w:styleId="PlainTable1">
    <w:name w:val="Plain Table 1"/>
    <w:basedOn w:val="TableNormal"/>
    <w:uiPriority w:val="41"/>
    <w:rsid w:val="00C34C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oposalTitleChar">
    <w:name w:val="Proposal Title Char"/>
    <w:basedOn w:val="Heading1Char"/>
    <w:link w:val="ProposalTitle"/>
    <w:rsid w:val="00814193"/>
    <w:rPr>
      <w:rFonts w:asciiTheme="majorHAnsi" w:eastAsiaTheme="majorEastAsia" w:hAnsiTheme="majorHAnsi" w:cstheme="majorBidi"/>
      <w:caps/>
      <w:color w:val="009999"/>
      <w:sz w:val="68"/>
      <w:szCs w:val="96"/>
    </w:rPr>
  </w:style>
  <w:style w:type="paragraph" w:customStyle="1" w:styleId="AListNumber1">
    <w:name w:val="AList Number1"/>
    <w:basedOn w:val="Normal"/>
    <w:qFormat/>
    <w:rsid w:val="008A5C01"/>
    <w:pPr>
      <w:numPr>
        <w:numId w:val="5"/>
      </w:numPr>
      <w:tabs>
        <w:tab w:val="left" w:pos="1080"/>
      </w:tabs>
      <w:spacing w:after="120" w:line="240" w:lineRule="auto"/>
    </w:pPr>
    <w:rPr>
      <w:rFonts w:ascii="Verdana" w:eastAsia="Times New Roman" w:hAnsi="Verdana" w:cs="Times New Roman"/>
      <w:color w:val="auto"/>
      <w:sz w:val="20"/>
      <w:szCs w:val="24"/>
    </w:rPr>
  </w:style>
  <w:style w:type="paragraph" w:styleId="FootnoteText">
    <w:name w:val="footnote text"/>
    <w:basedOn w:val="Normal"/>
    <w:link w:val="FootnoteTextChar"/>
    <w:semiHidden/>
    <w:unhideWhenUsed/>
    <w:rsid w:val="000F6442"/>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semiHidden/>
    <w:rsid w:val="000F6442"/>
    <w:rPr>
      <w:rFonts w:asciiTheme="minorHAnsi" w:hAnsiTheme="minorHAnsi"/>
      <w:sz w:val="20"/>
      <w:szCs w:val="20"/>
    </w:rPr>
  </w:style>
  <w:style w:type="character" w:styleId="FootnoteReference">
    <w:name w:val="footnote reference"/>
    <w:basedOn w:val="DefaultParagraphFont"/>
    <w:semiHidden/>
    <w:unhideWhenUsed/>
    <w:rsid w:val="000F6442"/>
    <w:rPr>
      <w:vertAlign w:val="superscript"/>
    </w:rPr>
  </w:style>
  <w:style w:type="character" w:styleId="UnresolvedMention">
    <w:name w:val="Unresolved Mention"/>
    <w:basedOn w:val="DefaultParagraphFont"/>
    <w:uiPriority w:val="99"/>
    <w:rsid w:val="00B77056"/>
    <w:rPr>
      <w:color w:val="605E5C"/>
      <w:shd w:val="clear" w:color="auto" w:fill="E1DFDD"/>
    </w:rPr>
  </w:style>
  <w:style w:type="paragraph" w:styleId="NoSpacing">
    <w:name w:val="No Spacing"/>
    <w:uiPriority w:val="1"/>
    <w:qFormat/>
    <w:rsid w:val="002C6EF1"/>
    <w:pPr>
      <w:spacing w:after="0" w:line="240" w:lineRule="auto"/>
    </w:pPr>
    <w:rPr>
      <w:color w:val="595959" w:themeColor="text1" w:themeTint="A6"/>
    </w:rPr>
  </w:style>
  <w:style w:type="character" w:styleId="FollowedHyperlink">
    <w:name w:val="FollowedHyperlink"/>
    <w:basedOn w:val="DefaultParagraphFont"/>
    <w:uiPriority w:val="99"/>
    <w:semiHidden/>
    <w:unhideWhenUsed/>
    <w:rsid w:val="00A27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492">
      <w:bodyDiv w:val="1"/>
      <w:marLeft w:val="0"/>
      <w:marRight w:val="0"/>
      <w:marTop w:val="0"/>
      <w:marBottom w:val="0"/>
      <w:divBdr>
        <w:top w:val="none" w:sz="0" w:space="0" w:color="auto"/>
        <w:left w:val="none" w:sz="0" w:space="0" w:color="auto"/>
        <w:bottom w:val="none" w:sz="0" w:space="0" w:color="auto"/>
        <w:right w:val="none" w:sz="0" w:space="0" w:color="auto"/>
      </w:divBdr>
    </w:div>
    <w:div w:id="65150688">
      <w:bodyDiv w:val="1"/>
      <w:marLeft w:val="0"/>
      <w:marRight w:val="0"/>
      <w:marTop w:val="0"/>
      <w:marBottom w:val="0"/>
      <w:divBdr>
        <w:top w:val="none" w:sz="0" w:space="0" w:color="auto"/>
        <w:left w:val="none" w:sz="0" w:space="0" w:color="auto"/>
        <w:bottom w:val="none" w:sz="0" w:space="0" w:color="auto"/>
        <w:right w:val="none" w:sz="0" w:space="0" w:color="auto"/>
      </w:divBdr>
    </w:div>
    <w:div w:id="124544037">
      <w:bodyDiv w:val="1"/>
      <w:marLeft w:val="0"/>
      <w:marRight w:val="0"/>
      <w:marTop w:val="0"/>
      <w:marBottom w:val="0"/>
      <w:divBdr>
        <w:top w:val="none" w:sz="0" w:space="0" w:color="auto"/>
        <w:left w:val="none" w:sz="0" w:space="0" w:color="auto"/>
        <w:bottom w:val="none" w:sz="0" w:space="0" w:color="auto"/>
        <w:right w:val="none" w:sz="0" w:space="0" w:color="auto"/>
      </w:divBdr>
    </w:div>
    <w:div w:id="193422874">
      <w:bodyDiv w:val="1"/>
      <w:marLeft w:val="0"/>
      <w:marRight w:val="0"/>
      <w:marTop w:val="0"/>
      <w:marBottom w:val="0"/>
      <w:divBdr>
        <w:top w:val="none" w:sz="0" w:space="0" w:color="auto"/>
        <w:left w:val="none" w:sz="0" w:space="0" w:color="auto"/>
        <w:bottom w:val="none" w:sz="0" w:space="0" w:color="auto"/>
        <w:right w:val="none" w:sz="0" w:space="0" w:color="auto"/>
      </w:divBdr>
    </w:div>
    <w:div w:id="194733457">
      <w:bodyDiv w:val="1"/>
      <w:marLeft w:val="0"/>
      <w:marRight w:val="0"/>
      <w:marTop w:val="0"/>
      <w:marBottom w:val="0"/>
      <w:divBdr>
        <w:top w:val="none" w:sz="0" w:space="0" w:color="auto"/>
        <w:left w:val="none" w:sz="0" w:space="0" w:color="auto"/>
        <w:bottom w:val="none" w:sz="0" w:space="0" w:color="auto"/>
        <w:right w:val="none" w:sz="0" w:space="0" w:color="auto"/>
      </w:divBdr>
    </w:div>
    <w:div w:id="395015145">
      <w:bodyDiv w:val="1"/>
      <w:marLeft w:val="0"/>
      <w:marRight w:val="0"/>
      <w:marTop w:val="0"/>
      <w:marBottom w:val="0"/>
      <w:divBdr>
        <w:top w:val="none" w:sz="0" w:space="0" w:color="auto"/>
        <w:left w:val="none" w:sz="0" w:space="0" w:color="auto"/>
        <w:bottom w:val="none" w:sz="0" w:space="0" w:color="auto"/>
        <w:right w:val="none" w:sz="0" w:space="0" w:color="auto"/>
      </w:divBdr>
    </w:div>
    <w:div w:id="419571089">
      <w:bodyDiv w:val="1"/>
      <w:marLeft w:val="0"/>
      <w:marRight w:val="0"/>
      <w:marTop w:val="0"/>
      <w:marBottom w:val="0"/>
      <w:divBdr>
        <w:top w:val="none" w:sz="0" w:space="0" w:color="auto"/>
        <w:left w:val="none" w:sz="0" w:space="0" w:color="auto"/>
        <w:bottom w:val="none" w:sz="0" w:space="0" w:color="auto"/>
        <w:right w:val="none" w:sz="0" w:space="0" w:color="auto"/>
      </w:divBdr>
    </w:div>
    <w:div w:id="598878023">
      <w:bodyDiv w:val="1"/>
      <w:marLeft w:val="0"/>
      <w:marRight w:val="0"/>
      <w:marTop w:val="0"/>
      <w:marBottom w:val="0"/>
      <w:divBdr>
        <w:top w:val="none" w:sz="0" w:space="0" w:color="auto"/>
        <w:left w:val="none" w:sz="0" w:space="0" w:color="auto"/>
        <w:bottom w:val="none" w:sz="0" w:space="0" w:color="auto"/>
        <w:right w:val="none" w:sz="0" w:space="0" w:color="auto"/>
      </w:divBdr>
    </w:div>
    <w:div w:id="644705936">
      <w:bodyDiv w:val="1"/>
      <w:marLeft w:val="0"/>
      <w:marRight w:val="0"/>
      <w:marTop w:val="0"/>
      <w:marBottom w:val="0"/>
      <w:divBdr>
        <w:top w:val="none" w:sz="0" w:space="0" w:color="auto"/>
        <w:left w:val="none" w:sz="0" w:space="0" w:color="auto"/>
        <w:bottom w:val="none" w:sz="0" w:space="0" w:color="auto"/>
        <w:right w:val="none" w:sz="0" w:space="0" w:color="auto"/>
      </w:divBdr>
    </w:div>
    <w:div w:id="688140796">
      <w:bodyDiv w:val="1"/>
      <w:marLeft w:val="0"/>
      <w:marRight w:val="0"/>
      <w:marTop w:val="0"/>
      <w:marBottom w:val="0"/>
      <w:divBdr>
        <w:top w:val="none" w:sz="0" w:space="0" w:color="auto"/>
        <w:left w:val="none" w:sz="0" w:space="0" w:color="auto"/>
        <w:bottom w:val="none" w:sz="0" w:space="0" w:color="auto"/>
        <w:right w:val="none" w:sz="0" w:space="0" w:color="auto"/>
      </w:divBdr>
    </w:div>
    <w:div w:id="915669510">
      <w:bodyDiv w:val="1"/>
      <w:marLeft w:val="0"/>
      <w:marRight w:val="0"/>
      <w:marTop w:val="0"/>
      <w:marBottom w:val="0"/>
      <w:divBdr>
        <w:top w:val="none" w:sz="0" w:space="0" w:color="auto"/>
        <w:left w:val="none" w:sz="0" w:space="0" w:color="auto"/>
        <w:bottom w:val="none" w:sz="0" w:space="0" w:color="auto"/>
        <w:right w:val="none" w:sz="0" w:space="0" w:color="auto"/>
      </w:divBdr>
    </w:div>
    <w:div w:id="959384087">
      <w:bodyDiv w:val="1"/>
      <w:marLeft w:val="0"/>
      <w:marRight w:val="0"/>
      <w:marTop w:val="0"/>
      <w:marBottom w:val="0"/>
      <w:divBdr>
        <w:top w:val="none" w:sz="0" w:space="0" w:color="auto"/>
        <w:left w:val="none" w:sz="0" w:space="0" w:color="auto"/>
        <w:bottom w:val="none" w:sz="0" w:space="0" w:color="auto"/>
        <w:right w:val="none" w:sz="0" w:space="0" w:color="auto"/>
      </w:divBdr>
    </w:div>
    <w:div w:id="984286167">
      <w:bodyDiv w:val="1"/>
      <w:marLeft w:val="0"/>
      <w:marRight w:val="0"/>
      <w:marTop w:val="0"/>
      <w:marBottom w:val="0"/>
      <w:divBdr>
        <w:top w:val="none" w:sz="0" w:space="0" w:color="auto"/>
        <w:left w:val="none" w:sz="0" w:space="0" w:color="auto"/>
        <w:bottom w:val="none" w:sz="0" w:space="0" w:color="auto"/>
        <w:right w:val="none" w:sz="0" w:space="0" w:color="auto"/>
      </w:divBdr>
    </w:div>
    <w:div w:id="1037511799">
      <w:bodyDiv w:val="1"/>
      <w:marLeft w:val="0"/>
      <w:marRight w:val="0"/>
      <w:marTop w:val="0"/>
      <w:marBottom w:val="0"/>
      <w:divBdr>
        <w:top w:val="none" w:sz="0" w:space="0" w:color="auto"/>
        <w:left w:val="none" w:sz="0" w:space="0" w:color="auto"/>
        <w:bottom w:val="none" w:sz="0" w:space="0" w:color="auto"/>
        <w:right w:val="none" w:sz="0" w:space="0" w:color="auto"/>
      </w:divBdr>
    </w:div>
    <w:div w:id="1164662303">
      <w:bodyDiv w:val="1"/>
      <w:marLeft w:val="0"/>
      <w:marRight w:val="0"/>
      <w:marTop w:val="0"/>
      <w:marBottom w:val="0"/>
      <w:divBdr>
        <w:top w:val="none" w:sz="0" w:space="0" w:color="auto"/>
        <w:left w:val="none" w:sz="0" w:space="0" w:color="auto"/>
        <w:bottom w:val="none" w:sz="0" w:space="0" w:color="auto"/>
        <w:right w:val="none" w:sz="0" w:space="0" w:color="auto"/>
      </w:divBdr>
    </w:div>
    <w:div w:id="1415786869">
      <w:bodyDiv w:val="1"/>
      <w:marLeft w:val="0"/>
      <w:marRight w:val="0"/>
      <w:marTop w:val="0"/>
      <w:marBottom w:val="0"/>
      <w:divBdr>
        <w:top w:val="none" w:sz="0" w:space="0" w:color="auto"/>
        <w:left w:val="none" w:sz="0" w:space="0" w:color="auto"/>
        <w:bottom w:val="none" w:sz="0" w:space="0" w:color="auto"/>
        <w:right w:val="none" w:sz="0" w:space="0" w:color="auto"/>
      </w:divBdr>
    </w:div>
    <w:div w:id="1528179612">
      <w:bodyDiv w:val="1"/>
      <w:marLeft w:val="0"/>
      <w:marRight w:val="0"/>
      <w:marTop w:val="0"/>
      <w:marBottom w:val="0"/>
      <w:divBdr>
        <w:top w:val="none" w:sz="0" w:space="0" w:color="auto"/>
        <w:left w:val="none" w:sz="0" w:space="0" w:color="auto"/>
        <w:bottom w:val="none" w:sz="0" w:space="0" w:color="auto"/>
        <w:right w:val="none" w:sz="0" w:space="0" w:color="auto"/>
      </w:divBdr>
    </w:div>
    <w:div w:id="1655453823">
      <w:bodyDiv w:val="1"/>
      <w:marLeft w:val="0"/>
      <w:marRight w:val="0"/>
      <w:marTop w:val="0"/>
      <w:marBottom w:val="0"/>
      <w:divBdr>
        <w:top w:val="none" w:sz="0" w:space="0" w:color="auto"/>
        <w:left w:val="none" w:sz="0" w:space="0" w:color="auto"/>
        <w:bottom w:val="none" w:sz="0" w:space="0" w:color="auto"/>
        <w:right w:val="none" w:sz="0" w:space="0" w:color="auto"/>
      </w:divBdr>
    </w:div>
    <w:div w:id="1765104196">
      <w:bodyDiv w:val="1"/>
      <w:marLeft w:val="0"/>
      <w:marRight w:val="0"/>
      <w:marTop w:val="0"/>
      <w:marBottom w:val="0"/>
      <w:divBdr>
        <w:top w:val="none" w:sz="0" w:space="0" w:color="auto"/>
        <w:left w:val="none" w:sz="0" w:space="0" w:color="auto"/>
        <w:bottom w:val="none" w:sz="0" w:space="0" w:color="auto"/>
        <w:right w:val="none" w:sz="0" w:space="0" w:color="auto"/>
      </w:divBdr>
    </w:div>
    <w:div w:id="1786346377">
      <w:bodyDiv w:val="1"/>
      <w:marLeft w:val="0"/>
      <w:marRight w:val="0"/>
      <w:marTop w:val="0"/>
      <w:marBottom w:val="0"/>
      <w:divBdr>
        <w:top w:val="none" w:sz="0" w:space="0" w:color="auto"/>
        <w:left w:val="none" w:sz="0" w:space="0" w:color="auto"/>
        <w:bottom w:val="none" w:sz="0" w:space="0" w:color="auto"/>
        <w:right w:val="none" w:sz="0" w:space="0" w:color="auto"/>
      </w:divBdr>
    </w:div>
    <w:div w:id="1896889721">
      <w:bodyDiv w:val="1"/>
      <w:marLeft w:val="0"/>
      <w:marRight w:val="0"/>
      <w:marTop w:val="0"/>
      <w:marBottom w:val="0"/>
      <w:divBdr>
        <w:top w:val="none" w:sz="0" w:space="0" w:color="auto"/>
        <w:left w:val="none" w:sz="0" w:space="0" w:color="auto"/>
        <w:bottom w:val="none" w:sz="0" w:space="0" w:color="auto"/>
        <w:right w:val="none" w:sz="0" w:space="0" w:color="auto"/>
      </w:divBdr>
    </w:div>
    <w:div w:id="1928226903">
      <w:bodyDiv w:val="1"/>
      <w:marLeft w:val="0"/>
      <w:marRight w:val="0"/>
      <w:marTop w:val="0"/>
      <w:marBottom w:val="0"/>
      <w:divBdr>
        <w:top w:val="none" w:sz="0" w:space="0" w:color="auto"/>
        <w:left w:val="none" w:sz="0" w:space="0" w:color="auto"/>
        <w:bottom w:val="none" w:sz="0" w:space="0" w:color="auto"/>
        <w:right w:val="none" w:sz="0" w:space="0" w:color="auto"/>
      </w:divBdr>
    </w:div>
    <w:div w:id="2098165373">
      <w:bodyDiv w:val="1"/>
      <w:marLeft w:val="0"/>
      <w:marRight w:val="0"/>
      <w:marTop w:val="0"/>
      <w:marBottom w:val="0"/>
      <w:divBdr>
        <w:top w:val="none" w:sz="0" w:space="0" w:color="auto"/>
        <w:left w:val="none" w:sz="0" w:space="0" w:color="auto"/>
        <w:bottom w:val="none" w:sz="0" w:space="0" w:color="auto"/>
        <w:right w:val="none" w:sz="0" w:space="0" w:color="auto"/>
      </w:divBdr>
    </w:div>
    <w:div w:id="21183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ter@qualitylogic.com" TargetMode="External"/><Relationship Id="rId18" Type="http://schemas.openxmlformats.org/officeDocument/2006/relationships/hyperlink" Target="https://www.nist.gov/system/files/documents/smartgrid/NIST-SP-1108r3.pdf" TargetMode="External"/><Relationship Id="rId26" Type="http://schemas.openxmlformats.org/officeDocument/2006/relationships/hyperlink" Target="https://www.qualitylogic.com/2021/02/03/the-challenge-of-inter-protocol-interoperability-for-grid-operators-and-the-ev-world/"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sepapower.org/knowledge/catalog-of-test-programs/" TargetMode="External"/><Relationship Id="rId25" Type="http://schemas.openxmlformats.org/officeDocument/2006/relationships/hyperlink" Target="https://www.nist.gov/publications/nist-framework-and-roadmap-smart-grid-interoperability-standards-release-40" TargetMode="External"/><Relationship Id="rId2" Type="http://schemas.openxmlformats.org/officeDocument/2006/relationships/customXml" Target="../customXml/item2.xml"/><Relationship Id="rId16" Type="http://schemas.openxmlformats.org/officeDocument/2006/relationships/hyperlink" Target="https://www.nist.gov/publications/nist-framework-and-roadmap-smart-grid-interoperability-standards-release-40"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epapower.org/knowledge/catalog-of-standards/" TargetMode="External"/><Relationship Id="rId5" Type="http://schemas.openxmlformats.org/officeDocument/2006/relationships/numbering" Target="numbering.xml"/><Relationship Id="rId15" Type="http://schemas.openxmlformats.org/officeDocument/2006/relationships/hyperlink" Target="http://www.gridstandardsmap.com/" TargetMode="External"/><Relationship Id="rId23" Type="http://schemas.openxmlformats.org/officeDocument/2006/relationships/hyperlink" Target="https://www.gridedgeintelligence.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soforsmartgrids.eu/wp-content/uploads/public/DSO-Priorities-Smart-Gird-Standardis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ri.com/research/products/000000003002018544" TargetMode="External"/><Relationship Id="rId22" Type="http://schemas.openxmlformats.org/officeDocument/2006/relationships/chart" Target="charts/chart2.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qualitylogic-my.sharepoint.com/personal/jmater_qualitylogic_com/Documents/Offline%20Work%20Files/DER%20Protocols%20Newsletter+Platform/SE%20Newsletter%20Survey%20-%20Individual%20Results%20Analysis%200425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qualitylogic-my.sharepoint.com/personal/jmater_qualitylogic_com/Documents/Offline%20Work%20Files/DER%20Protocols%20Newsletter+Platform/SE%20Newsletter%20Survey%20-%20Individual%20Results%20Analysis%200425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Survey</a:t>
            </a:r>
            <a:r>
              <a:rPr lang="en-US" baseline="0"/>
              <a:t> Results: </a:t>
            </a:r>
            <a:r>
              <a:rPr lang="en-US"/>
              <a:t>Most Important Protocols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Analysis!$C$69</c:f>
              <c:strCache>
                <c:ptCount val="1"/>
                <c:pt idx="0">
                  <c:v>Total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Analysis!$A$70:$A$80</c:f>
              <c:strCache>
                <c:ptCount val="11"/>
                <c:pt idx="0">
                  <c:v>IEEE 2030.5/R21</c:v>
                </c:pt>
                <c:pt idx="1">
                  <c:v>OpenADR</c:v>
                </c:pt>
                <c:pt idx="2">
                  <c:v>IEC 61850 </c:v>
                </c:pt>
                <c:pt idx="3">
                  <c:v>UL 1741</c:v>
                </c:pt>
                <c:pt idx="4">
                  <c:v>DNP3 AN 2019</c:v>
                </c:pt>
                <c:pt idx="5">
                  <c:v>SunSpec</c:v>
                </c:pt>
                <c:pt idx="6">
                  <c:v>MESA </c:v>
                </c:pt>
                <c:pt idx="7">
                  <c:v>UL 9741 EVSE</c:v>
                </c:pt>
                <c:pt idx="8">
                  <c:v>ISO 15118-2:2014</c:v>
                </c:pt>
                <c:pt idx="9">
                  <c:v>SAE J3072</c:v>
                </c:pt>
                <c:pt idx="10">
                  <c:v>OCPP</c:v>
                </c:pt>
              </c:strCache>
              <c:extLst/>
            </c:strRef>
          </c:cat>
          <c:val>
            <c:numRef>
              <c:f>Analysis!$C$70:$C$80</c:f>
              <c:numCache>
                <c:formatCode>General</c:formatCode>
                <c:ptCount val="11"/>
                <c:pt idx="0">
                  <c:v>4.32</c:v>
                </c:pt>
                <c:pt idx="1">
                  <c:v>3.85</c:v>
                </c:pt>
                <c:pt idx="2">
                  <c:v>3.82</c:v>
                </c:pt>
                <c:pt idx="3">
                  <c:v>3.63</c:v>
                </c:pt>
                <c:pt idx="4">
                  <c:v>3.6</c:v>
                </c:pt>
                <c:pt idx="5">
                  <c:v>3.64</c:v>
                </c:pt>
                <c:pt idx="6">
                  <c:v>3.23</c:v>
                </c:pt>
                <c:pt idx="7">
                  <c:v>3.05</c:v>
                </c:pt>
                <c:pt idx="8">
                  <c:v>2.87</c:v>
                </c:pt>
                <c:pt idx="9">
                  <c:v>2.66</c:v>
                </c:pt>
                <c:pt idx="10">
                  <c:v>2.88</c:v>
                </c:pt>
              </c:numCache>
            </c:numRef>
          </c:val>
          <c:smooth val="0"/>
          <c:extLst>
            <c:ext xmlns:c16="http://schemas.microsoft.com/office/drawing/2014/chart" uri="{C3380CC4-5D6E-409C-BE32-E72D297353CC}">
              <c16:uniqueId val="{00000000-F8BC-4D5E-9236-7794E5A18844}"/>
            </c:ext>
          </c:extLst>
        </c:ser>
        <c:dLbls>
          <c:showLegendKey val="0"/>
          <c:showVal val="0"/>
          <c:showCatName val="0"/>
          <c:showSerName val="0"/>
          <c:showPercent val="0"/>
          <c:showBubbleSize val="0"/>
        </c:dLbls>
        <c:marker val="1"/>
        <c:smooth val="0"/>
        <c:axId val="600491960"/>
        <c:axId val="600492944"/>
        <c:extLst>
          <c:ext xmlns:c15="http://schemas.microsoft.com/office/drawing/2012/chart" uri="{02D57815-91ED-43cb-92C2-25804820EDAC}">
            <c15:filteredLineSeries>
              <c15:ser>
                <c:idx val="1"/>
                <c:order val="1"/>
                <c:tx>
                  <c:strRef>
                    <c:extLst>
                      <c:ext uri="{02D57815-91ED-43cb-92C2-25804820EDAC}">
                        <c15:formulaRef>
                          <c15:sqref>Analysis!$D$69</c15:sqref>
                        </c15:formulaRef>
                      </c:ext>
                    </c:extLst>
                    <c:strCache>
                      <c:ptCount val="1"/>
                      <c:pt idx="0">
                        <c:v>$250+</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c:ext uri="{02D57815-91ED-43cb-92C2-25804820EDAC}">
                        <c15:formulaRef>
                          <c15:sqref>Analysis!$A$70:$A$80</c15:sqref>
                        </c15:formulaRef>
                      </c:ext>
                    </c:extLst>
                    <c:strCache>
                      <c:ptCount val="11"/>
                      <c:pt idx="0">
                        <c:v>IEEE 2030.5/R21</c:v>
                      </c:pt>
                      <c:pt idx="1">
                        <c:v>OpenADR</c:v>
                      </c:pt>
                      <c:pt idx="2">
                        <c:v>IEC 61850 </c:v>
                      </c:pt>
                      <c:pt idx="3">
                        <c:v>UL 1741</c:v>
                      </c:pt>
                      <c:pt idx="4">
                        <c:v>DNP3 AN 2019</c:v>
                      </c:pt>
                      <c:pt idx="5">
                        <c:v>SunSpec</c:v>
                      </c:pt>
                      <c:pt idx="6">
                        <c:v>MESA </c:v>
                      </c:pt>
                      <c:pt idx="7">
                        <c:v>UL 9741 EVSE</c:v>
                      </c:pt>
                      <c:pt idx="8">
                        <c:v>ISO 15118-2:2014</c:v>
                      </c:pt>
                      <c:pt idx="9">
                        <c:v>SAE J3072</c:v>
                      </c:pt>
                      <c:pt idx="10">
                        <c:v>OCPP</c:v>
                      </c:pt>
                    </c:strCache>
                  </c:strRef>
                </c:cat>
                <c:val>
                  <c:numRef>
                    <c:extLst>
                      <c:ext uri="{02D57815-91ED-43cb-92C2-25804820EDAC}">
                        <c15:formulaRef>
                          <c15:sqref>Analysis!$D$70:$D$80</c15:sqref>
                        </c15:formulaRef>
                      </c:ext>
                    </c:extLst>
                    <c:numCache>
                      <c:formatCode>_(* #,##0.00_);_(* \(#,##0.00\);_(* "-"??_);_(@_)</c:formatCode>
                      <c:ptCount val="11"/>
                      <c:pt idx="0">
                        <c:v>4.2666666666666666</c:v>
                      </c:pt>
                      <c:pt idx="1">
                        <c:v>4.2142857142857144</c:v>
                      </c:pt>
                      <c:pt idx="2">
                        <c:v>4.2666666666666666</c:v>
                      </c:pt>
                      <c:pt idx="3">
                        <c:v>3.5</c:v>
                      </c:pt>
                      <c:pt idx="4">
                        <c:v>4</c:v>
                      </c:pt>
                      <c:pt idx="5">
                        <c:v>3.7142857142857144</c:v>
                      </c:pt>
                      <c:pt idx="6">
                        <c:v>3.2307692307692308</c:v>
                      </c:pt>
                      <c:pt idx="7">
                        <c:v>2.9285714285714284</c:v>
                      </c:pt>
                      <c:pt idx="8">
                        <c:v>2.8461538461538463</c:v>
                      </c:pt>
                      <c:pt idx="9">
                        <c:v>2.7692307692307692</c:v>
                      </c:pt>
                      <c:pt idx="10">
                        <c:v>2.7692307692307692</c:v>
                      </c:pt>
                    </c:numCache>
                  </c:numRef>
                </c:val>
                <c:smooth val="0"/>
                <c:extLst>
                  <c:ext xmlns:c16="http://schemas.microsoft.com/office/drawing/2014/chart" uri="{C3380CC4-5D6E-409C-BE32-E72D297353CC}">
                    <c16:uniqueId val="{00000001-F8BC-4D5E-9236-7794E5A18844}"/>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Analysis!$E$69</c15:sqref>
                        </c15:formulaRef>
                      </c:ext>
                    </c:extLst>
                    <c:strCache>
                      <c:ptCount val="1"/>
                      <c:pt idx="0">
                        <c:v>$100+</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Analysis!$A$70:$A$80</c15:sqref>
                        </c15:formulaRef>
                      </c:ext>
                    </c:extLst>
                    <c:strCache>
                      <c:ptCount val="11"/>
                      <c:pt idx="0">
                        <c:v>IEEE 2030.5/R21</c:v>
                      </c:pt>
                      <c:pt idx="1">
                        <c:v>OpenADR</c:v>
                      </c:pt>
                      <c:pt idx="2">
                        <c:v>IEC 61850 </c:v>
                      </c:pt>
                      <c:pt idx="3">
                        <c:v>UL 1741</c:v>
                      </c:pt>
                      <c:pt idx="4">
                        <c:v>DNP3 AN 2019</c:v>
                      </c:pt>
                      <c:pt idx="5">
                        <c:v>SunSpec</c:v>
                      </c:pt>
                      <c:pt idx="6">
                        <c:v>MESA </c:v>
                      </c:pt>
                      <c:pt idx="7">
                        <c:v>UL 9741 EVSE</c:v>
                      </c:pt>
                      <c:pt idx="8">
                        <c:v>ISO 15118-2:2014</c:v>
                      </c:pt>
                      <c:pt idx="9">
                        <c:v>SAE J3072</c:v>
                      </c:pt>
                      <c:pt idx="10">
                        <c:v>OCPP</c:v>
                      </c:pt>
                    </c:strCache>
                  </c:strRef>
                </c:cat>
                <c:val>
                  <c:numRef>
                    <c:extLst xmlns:c15="http://schemas.microsoft.com/office/drawing/2012/chart">
                      <c:ext xmlns:c15="http://schemas.microsoft.com/office/drawing/2012/chart" uri="{02D57815-91ED-43cb-92C2-25804820EDAC}">
                        <c15:formulaRef>
                          <c15:sqref>Analysis!$E$70:$E$80</c15:sqref>
                        </c15:formulaRef>
                      </c:ext>
                    </c:extLst>
                    <c:numCache>
                      <c:formatCode>_(* #,##0.00_);_(* \(#,##0.00\);_(* "-"??_);_(@_)</c:formatCode>
                      <c:ptCount val="11"/>
                      <c:pt idx="0">
                        <c:v>4.5652173913043477</c:v>
                      </c:pt>
                      <c:pt idx="1">
                        <c:v>4.333333333333333</c:v>
                      </c:pt>
                      <c:pt idx="2">
                        <c:v>4.0909090909090908</c:v>
                      </c:pt>
                      <c:pt idx="3">
                        <c:v>3.9565217391304346</c:v>
                      </c:pt>
                      <c:pt idx="4">
                        <c:v>3.9523809523809526</c:v>
                      </c:pt>
                      <c:pt idx="5">
                        <c:v>3.5652173913043477</c:v>
                      </c:pt>
                      <c:pt idx="6">
                        <c:v>3.4545454545454546</c:v>
                      </c:pt>
                      <c:pt idx="7">
                        <c:v>3</c:v>
                      </c:pt>
                      <c:pt idx="8">
                        <c:v>3</c:v>
                      </c:pt>
                      <c:pt idx="9">
                        <c:v>2.8</c:v>
                      </c:pt>
                      <c:pt idx="10">
                        <c:v>2.6315789473684212</c:v>
                      </c:pt>
                    </c:numCache>
                  </c:numRef>
                </c:val>
                <c:smooth val="0"/>
                <c:extLst xmlns:c15="http://schemas.microsoft.com/office/drawing/2012/chart">
                  <c:ext xmlns:c16="http://schemas.microsoft.com/office/drawing/2014/chart" uri="{C3380CC4-5D6E-409C-BE32-E72D297353CC}">
                    <c16:uniqueId val="{00000002-F8BC-4D5E-9236-7794E5A18844}"/>
                  </c:ext>
                </c:extLst>
              </c15:ser>
            </c15:filteredLineSeries>
          </c:ext>
        </c:extLst>
      </c:lineChart>
      <c:catAx>
        <c:axId val="600491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492944"/>
        <c:crosses val="autoZero"/>
        <c:auto val="1"/>
        <c:lblAlgn val="ctr"/>
        <c:lblOffset val="100"/>
        <c:noMultiLvlLbl val="0"/>
      </c:catAx>
      <c:valAx>
        <c:axId val="60049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491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Information</a:t>
            </a:r>
            <a:r>
              <a:rPr lang="en-US" baseline="0"/>
              <a:t> of Most Interest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Analysis!$C$13</c:f>
              <c:strCache>
                <c:ptCount val="1"/>
                <c:pt idx="0">
                  <c:v>Total</c:v>
                </c:pt>
              </c:strCache>
            </c:strRef>
          </c:tx>
          <c:spPr>
            <a:solidFill>
              <a:schemeClr val="accent2"/>
            </a:solidFill>
            <a:ln>
              <a:noFill/>
            </a:ln>
            <a:effectLst/>
          </c:spPr>
          <c:invertIfNegative val="0"/>
          <c:cat>
            <c:strRef>
              <c:f>Analysis!$A$14:$A$23</c:f>
              <c:strCache>
                <c:ptCount val="10"/>
                <c:pt idx="0">
                  <c:v>Description </c:v>
                </c:pt>
                <c:pt idx="1">
                  <c:v>Adoption: mandates/utilities</c:v>
                </c:pt>
                <c:pt idx="2">
                  <c:v>Adoption: vendors/products</c:v>
                </c:pt>
                <c:pt idx="3">
                  <c:v>Current status </c:v>
                </c:pt>
                <c:pt idx="4">
                  <c:v>Sources</c:v>
                </c:pt>
                <c:pt idx="5">
                  <c:v>In-depth technical training</c:v>
                </c:pt>
                <c:pt idx="6">
                  <c:v>Certification quality</c:v>
                </c:pt>
                <c:pt idx="7">
                  <c:v>Comments/assessment</c:v>
                </c:pt>
                <c:pt idx="8">
                  <c:v>Advocacy</c:v>
                </c:pt>
                <c:pt idx="9">
                  <c:v>Events Calendar</c:v>
                </c:pt>
              </c:strCache>
            </c:strRef>
          </c:cat>
          <c:val>
            <c:numRef>
              <c:f>Analysis!$C$14:$C$23</c:f>
              <c:numCache>
                <c:formatCode>General</c:formatCode>
                <c:ptCount val="10"/>
                <c:pt idx="0">
                  <c:v>4.71</c:v>
                </c:pt>
                <c:pt idx="1">
                  <c:v>4.3499999999999996</c:v>
                </c:pt>
                <c:pt idx="2">
                  <c:v>4.1100000000000003</c:v>
                </c:pt>
                <c:pt idx="3">
                  <c:v>4.08</c:v>
                </c:pt>
                <c:pt idx="4">
                  <c:v>3.82</c:v>
                </c:pt>
                <c:pt idx="5">
                  <c:v>3.78</c:v>
                </c:pt>
                <c:pt idx="6">
                  <c:v>3.74</c:v>
                </c:pt>
                <c:pt idx="7">
                  <c:v>3.57</c:v>
                </c:pt>
                <c:pt idx="8">
                  <c:v>3.5</c:v>
                </c:pt>
                <c:pt idx="9">
                  <c:v>2.89</c:v>
                </c:pt>
              </c:numCache>
            </c:numRef>
          </c:val>
          <c:extLst>
            <c:ext xmlns:c16="http://schemas.microsoft.com/office/drawing/2014/chart" uri="{C3380CC4-5D6E-409C-BE32-E72D297353CC}">
              <c16:uniqueId val="{00000000-3992-4C5B-B68B-1F5BCF42DB4D}"/>
            </c:ext>
          </c:extLst>
        </c:ser>
        <c:dLbls>
          <c:showLegendKey val="0"/>
          <c:showVal val="0"/>
          <c:showCatName val="0"/>
          <c:showSerName val="0"/>
          <c:showPercent val="0"/>
          <c:showBubbleSize val="0"/>
        </c:dLbls>
        <c:gapWidth val="219"/>
        <c:overlap val="-27"/>
        <c:axId val="1577384992"/>
        <c:axId val="1577382080"/>
        <c:extLst>
          <c:ext xmlns:c15="http://schemas.microsoft.com/office/drawing/2012/chart" uri="{02D57815-91ED-43cb-92C2-25804820EDAC}">
            <c15:filteredBarSeries>
              <c15:ser>
                <c:idx val="0"/>
                <c:order val="0"/>
                <c:tx>
                  <c:strRef>
                    <c:extLst>
                      <c:ext uri="{02D57815-91ED-43cb-92C2-25804820EDAC}">
                        <c15:formulaRef>
                          <c15:sqref>Analysis!$B$13</c15:sqref>
                        </c15:formulaRef>
                      </c:ext>
                    </c:extLst>
                    <c:strCache>
                      <c:ptCount val="1"/>
                    </c:strCache>
                  </c:strRef>
                </c:tx>
                <c:spPr>
                  <a:solidFill>
                    <a:schemeClr val="accent1"/>
                  </a:solidFill>
                  <a:ln>
                    <a:noFill/>
                  </a:ln>
                  <a:effectLst/>
                </c:spPr>
                <c:invertIfNegative val="0"/>
                <c:cat>
                  <c:strRef>
                    <c:extLst>
                      <c:ext uri="{02D57815-91ED-43cb-92C2-25804820EDAC}">
                        <c15:formulaRef>
                          <c15:sqref>Analysis!$A$14:$A$23</c15:sqref>
                        </c15:formulaRef>
                      </c:ext>
                    </c:extLst>
                    <c:strCache>
                      <c:ptCount val="10"/>
                      <c:pt idx="0">
                        <c:v>Description </c:v>
                      </c:pt>
                      <c:pt idx="1">
                        <c:v>Adoption: mandates/utilities</c:v>
                      </c:pt>
                      <c:pt idx="2">
                        <c:v>Adoption: vendors/products</c:v>
                      </c:pt>
                      <c:pt idx="3">
                        <c:v>Current status </c:v>
                      </c:pt>
                      <c:pt idx="4">
                        <c:v>Sources</c:v>
                      </c:pt>
                      <c:pt idx="5">
                        <c:v>In-depth technical training</c:v>
                      </c:pt>
                      <c:pt idx="6">
                        <c:v>Certification quality</c:v>
                      </c:pt>
                      <c:pt idx="7">
                        <c:v>Comments/assessment</c:v>
                      </c:pt>
                      <c:pt idx="8">
                        <c:v>Advocacy</c:v>
                      </c:pt>
                      <c:pt idx="9">
                        <c:v>Events Calendar</c:v>
                      </c:pt>
                    </c:strCache>
                  </c:strRef>
                </c:cat>
                <c:val>
                  <c:numRef>
                    <c:extLst>
                      <c:ext uri="{02D57815-91ED-43cb-92C2-25804820EDAC}">
                        <c15:formulaRef>
                          <c15:sqref>Analysis!$B$14:$B$23</c15:sqref>
                        </c15:formulaRef>
                      </c:ext>
                    </c:extLst>
                    <c:numCache>
                      <c:formatCode>General</c:formatCode>
                      <c:ptCount val="10"/>
                    </c:numCache>
                  </c:numRef>
                </c:val>
                <c:extLst>
                  <c:ext xmlns:c16="http://schemas.microsoft.com/office/drawing/2014/chart" uri="{C3380CC4-5D6E-409C-BE32-E72D297353CC}">
                    <c16:uniqueId val="{00000001-3992-4C5B-B68B-1F5BCF42DB4D}"/>
                  </c:ext>
                </c:extLst>
              </c15:ser>
            </c15:filteredBarSeries>
          </c:ext>
        </c:extLst>
      </c:barChart>
      <c:catAx>
        <c:axId val="157738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382080"/>
        <c:crosses val="autoZero"/>
        <c:auto val="1"/>
        <c:lblAlgn val="ctr"/>
        <c:lblOffset val="100"/>
        <c:noMultiLvlLbl val="0"/>
      </c:catAx>
      <c:valAx>
        <c:axId val="157738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38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346D6F5EDB3499702ECDF6BBA7B26" ma:contentTypeVersion="8" ma:contentTypeDescription="Create a new document." ma:contentTypeScope="" ma:versionID="fed73e7c415204a4c86bd0abaafa4c49">
  <xsd:schema xmlns:xsd="http://www.w3.org/2001/XMLSchema" xmlns:xs="http://www.w3.org/2001/XMLSchema" xmlns:p="http://schemas.microsoft.com/office/2006/metadata/properties" xmlns:ns2="85413782-0c00-4cbd-b895-723b2a3f91a8" targetNamespace="http://schemas.microsoft.com/office/2006/metadata/properties" ma:root="true" ma:fieldsID="2f6725ed29a10ef159577407400bf88d" ns2:_="">
    <xsd:import namespace="85413782-0c00-4cbd-b895-723b2a3f91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13782-0c00-4cbd-b895-723b2a3f9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2912C-8B15-41B5-883B-A6405F184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13782-0c00-4cbd-b895-723b2a3f9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A4307-3EB2-4784-A1C3-5DEED74C1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BF4E75-652E-4F4F-AE29-25D0C33F28F7}">
  <ds:schemaRefs>
    <ds:schemaRef ds:uri="http://schemas.openxmlformats.org/officeDocument/2006/bibliography"/>
  </ds:schemaRefs>
</ds:datastoreItem>
</file>

<file path=customXml/itemProps4.xml><?xml version="1.0" encoding="utf-8"?>
<ds:datastoreItem xmlns:ds="http://schemas.openxmlformats.org/officeDocument/2006/customXml" ds:itemID="{F89635C1-ED87-4F46-8571-4F0C0CE8D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11</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Monger</vt:lpstr>
    </vt:vector>
  </TitlesOfParts>
  <Manager/>
  <Company>QualityLogic, Inc</Company>
  <LinksUpToDate>false</LinksUpToDate>
  <CharactersWithSpaces>18048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Monger</dc:title>
  <dc:subject/>
  <dc:creator>Koch, Sarah</dc:creator>
  <cp:keywords/>
  <dc:description/>
  <cp:lastModifiedBy>Mater, James</cp:lastModifiedBy>
  <cp:revision>126</cp:revision>
  <cp:lastPrinted>2020-02-17T16:44:00Z</cp:lastPrinted>
  <dcterms:created xsi:type="dcterms:W3CDTF">2021-02-23T01:54:00Z</dcterms:created>
  <dcterms:modified xsi:type="dcterms:W3CDTF">2021-02-24T01:01:00Z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0x010100789346D6F5EDB3499702ECDF6BBA7B26</vt:lpwstr>
  </property>
</Properties>
</file>