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F5123" w14:textId="77777777" w:rsidR="00F012C4" w:rsidRDefault="00F012C4" w:rsidP="00F012C4">
      <w:pPr>
        <w:jc w:val="center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Agreement</w:t>
      </w:r>
      <w:r w:rsidRPr="00710AF7">
        <w:rPr>
          <w:rFonts w:ascii="Arial" w:hAnsi="Arial" w:cs="Arial"/>
          <w:b/>
          <w:bCs/>
          <w:lang w:val="en-GB"/>
        </w:rPr>
        <w:t xml:space="preserve"> of the </w:t>
      </w:r>
      <w:r>
        <w:rPr>
          <w:rFonts w:ascii="Arial" w:hAnsi="Arial" w:cs="Arial"/>
          <w:b/>
          <w:bCs/>
          <w:lang w:val="en-GB"/>
        </w:rPr>
        <w:t xml:space="preserve">Point of Care Test (POCT) </w:t>
      </w:r>
      <w:proofErr w:type="spellStart"/>
      <w:r w:rsidRPr="00710AF7">
        <w:rPr>
          <w:rFonts w:ascii="Arial" w:hAnsi="Arial" w:cs="Arial"/>
          <w:b/>
          <w:bCs/>
          <w:lang w:val="en-GB"/>
        </w:rPr>
        <w:t>Boditech</w:t>
      </w:r>
      <w:proofErr w:type="spellEnd"/>
      <w:r w:rsidRPr="00710AF7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710AF7">
        <w:rPr>
          <w:rFonts w:ascii="Arial" w:hAnsi="Arial" w:cs="Arial"/>
          <w:b/>
          <w:bCs/>
          <w:lang w:val="en-GB"/>
        </w:rPr>
        <w:t>iCHROMA</w:t>
      </w:r>
      <w:proofErr w:type="spellEnd"/>
      <w:r>
        <w:rPr>
          <w:rFonts w:ascii="Arial" w:hAnsi="Arial" w:cs="Arial"/>
          <w:b/>
          <w:bCs/>
          <w:lang w:val="en-GB"/>
        </w:rPr>
        <w:t xml:space="preserve"> Covid-19 </w:t>
      </w:r>
      <w:proofErr w:type="gramStart"/>
      <w:r>
        <w:rPr>
          <w:rFonts w:ascii="Arial" w:hAnsi="Arial" w:cs="Arial"/>
          <w:b/>
          <w:bCs/>
          <w:lang w:val="en-GB"/>
        </w:rPr>
        <w:t xml:space="preserve">antibody </w:t>
      </w:r>
      <w:r w:rsidRPr="00710AF7">
        <w:rPr>
          <w:rFonts w:ascii="Arial" w:hAnsi="Arial" w:cs="Arial"/>
          <w:b/>
          <w:bCs/>
          <w:lang w:val="en-GB"/>
        </w:rPr>
        <w:t xml:space="preserve"> IgM</w:t>
      </w:r>
      <w:proofErr w:type="gramEnd"/>
      <w:r w:rsidRPr="00710AF7">
        <w:rPr>
          <w:rFonts w:ascii="Arial" w:hAnsi="Arial" w:cs="Arial"/>
          <w:b/>
          <w:bCs/>
          <w:lang w:val="en-GB"/>
        </w:rPr>
        <w:t>/IgG assay with the Abbott Architect IgG assay</w:t>
      </w:r>
      <w:r>
        <w:rPr>
          <w:rFonts w:ascii="Arial" w:hAnsi="Arial" w:cs="Arial"/>
          <w:b/>
          <w:bCs/>
          <w:lang w:val="en-GB"/>
        </w:rPr>
        <w:t xml:space="preserve"> </w:t>
      </w:r>
    </w:p>
    <w:p w14:paraId="12586FD4" w14:textId="77777777" w:rsidR="00F012C4" w:rsidRDefault="00F012C4" w:rsidP="00F012C4">
      <w:pPr>
        <w:jc w:val="center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by</w:t>
      </w:r>
    </w:p>
    <w:p w14:paraId="65C6CFC3" w14:textId="3B101899" w:rsidR="00F012C4" w:rsidRPr="00EC4D54" w:rsidRDefault="00F012C4" w:rsidP="00F012C4">
      <w:pPr>
        <w:jc w:val="center"/>
        <w:rPr>
          <w:rFonts w:ascii="Arial" w:hAnsi="Arial" w:cs="Arial"/>
          <w:vertAlign w:val="superscript"/>
          <w:lang w:val="en-GB"/>
        </w:rPr>
      </w:pPr>
      <w:r w:rsidRPr="00AD475A">
        <w:rPr>
          <w:rFonts w:ascii="Arial" w:hAnsi="Arial" w:cs="Arial"/>
          <w:lang w:val="en-GB"/>
        </w:rPr>
        <w:t>M Bass</w:t>
      </w:r>
      <w:r>
        <w:rPr>
          <w:rFonts w:ascii="Arial" w:hAnsi="Arial" w:cs="Arial"/>
          <w:vertAlign w:val="superscript"/>
          <w:lang w:val="en-GB"/>
        </w:rPr>
        <w:t>1</w:t>
      </w:r>
      <w:r w:rsidRPr="00AD475A">
        <w:rPr>
          <w:rFonts w:ascii="Arial" w:hAnsi="Arial" w:cs="Arial"/>
          <w:lang w:val="en-GB"/>
        </w:rPr>
        <w:t>, J Bolodeoku</w:t>
      </w:r>
      <w:r w:rsidRPr="003C4F26">
        <w:rPr>
          <w:rFonts w:ascii="Arial" w:hAnsi="Arial" w:cs="Arial"/>
          <w:vertAlign w:val="superscript"/>
          <w:lang w:val="en-GB"/>
        </w:rPr>
        <w:t>1,</w:t>
      </w:r>
      <w:r>
        <w:rPr>
          <w:rFonts w:ascii="Arial" w:hAnsi="Arial" w:cs="Arial"/>
          <w:vertAlign w:val="superscript"/>
          <w:lang w:val="en-GB"/>
        </w:rPr>
        <w:t>2</w:t>
      </w:r>
      <w:r>
        <w:rPr>
          <w:rFonts w:ascii="Arial" w:hAnsi="Arial" w:cs="Arial"/>
          <w:lang w:val="en-GB"/>
        </w:rPr>
        <w:t>, E Stevenson</w:t>
      </w:r>
      <w:r>
        <w:rPr>
          <w:rFonts w:ascii="Arial" w:hAnsi="Arial" w:cs="Arial"/>
          <w:vertAlign w:val="superscript"/>
          <w:lang w:val="en-GB"/>
        </w:rPr>
        <w:t>3</w:t>
      </w:r>
      <w:r>
        <w:rPr>
          <w:rFonts w:ascii="Arial" w:hAnsi="Arial" w:cs="Arial"/>
          <w:lang w:val="en-GB"/>
        </w:rPr>
        <w:t>, TK Kim</w:t>
      </w:r>
      <w:r>
        <w:rPr>
          <w:rFonts w:ascii="Arial" w:hAnsi="Arial" w:cs="Arial"/>
          <w:vertAlign w:val="superscript"/>
          <w:lang w:val="en-GB"/>
        </w:rPr>
        <w:t>4</w:t>
      </w:r>
      <w:r>
        <w:rPr>
          <w:rFonts w:ascii="Arial" w:hAnsi="Arial" w:cs="Arial"/>
          <w:lang w:val="en-GB"/>
        </w:rPr>
        <w:t>, V Retnasingham</w:t>
      </w:r>
      <w:r w:rsidR="00EC4D54">
        <w:rPr>
          <w:rFonts w:ascii="Arial" w:hAnsi="Arial" w:cs="Arial"/>
          <w:vertAlign w:val="superscript"/>
          <w:lang w:val="en-GB"/>
        </w:rPr>
        <w:t>1</w:t>
      </w:r>
    </w:p>
    <w:p w14:paraId="171D4B14" w14:textId="77777777" w:rsidR="00F012C4" w:rsidRDefault="00F012C4" w:rsidP="00F012C4">
      <w:pPr>
        <w:jc w:val="center"/>
        <w:rPr>
          <w:rFonts w:ascii="Arial" w:hAnsi="Arial" w:cs="Arial"/>
          <w:lang w:val="en-GB"/>
        </w:rPr>
      </w:pPr>
    </w:p>
    <w:p w14:paraId="59D5EC92" w14:textId="77777777" w:rsidR="00F012C4" w:rsidRDefault="00F012C4" w:rsidP="00F012C4">
      <w:pPr>
        <w:rPr>
          <w:rFonts w:ascii="Arial" w:hAnsi="Arial" w:cs="Arial"/>
          <w:lang w:val="en-GB"/>
        </w:rPr>
      </w:pPr>
      <w:r>
        <w:rPr>
          <w:rFonts w:ascii="Arial" w:hAnsi="Arial" w:cs="Arial"/>
          <w:vertAlign w:val="superscript"/>
          <w:lang w:val="en-GB"/>
        </w:rPr>
        <w:t>1</w:t>
      </w:r>
      <w:r>
        <w:rPr>
          <w:rFonts w:ascii="Arial" w:hAnsi="Arial" w:cs="Arial"/>
          <w:lang w:val="en-GB"/>
        </w:rPr>
        <w:t>P</w:t>
      </w:r>
      <w:r w:rsidRPr="00AD475A">
        <w:rPr>
          <w:rFonts w:ascii="Arial" w:hAnsi="Arial" w:cs="Arial"/>
          <w:lang w:val="en-GB"/>
        </w:rPr>
        <w:t>athDirect Laboratory</w:t>
      </w:r>
      <w:r>
        <w:rPr>
          <w:rFonts w:ascii="Arial" w:hAnsi="Arial" w:cs="Arial"/>
          <w:lang w:val="en-GB"/>
        </w:rPr>
        <w:t xml:space="preserve"> </w:t>
      </w:r>
    </w:p>
    <w:p w14:paraId="7EE1809E" w14:textId="77777777" w:rsidR="00F012C4" w:rsidRDefault="00F012C4" w:rsidP="00F012C4">
      <w:pPr>
        <w:rPr>
          <w:rFonts w:ascii="Arial" w:hAnsi="Arial" w:cs="Arial"/>
          <w:lang w:val="en-GB"/>
        </w:rPr>
      </w:pPr>
      <w:r>
        <w:rPr>
          <w:rFonts w:ascii="Arial" w:hAnsi="Arial" w:cs="Arial"/>
          <w:vertAlign w:val="superscript"/>
          <w:lang w:val="en-GB"/>
        </w:rPr>
        <w:t>2</w:t>
      </w:r>
      <w:r w:rsidRPr="00721105">
        <w:rPr>
          <w:rFonts w:ascii="Arial" w:hAnsi="Arial" w:cs="Arial"/>
          <w:lang w:val="en-GB"/>
        </w:rPr>
        <w:t>JB Consulting MDP Limited</w:t>
      </w:r>
    </w:p>
    <w:p w14:paraId="2C101699" w14:textId="77777777" w:rsidR="00F012C4" w:rsidRDefault="00F012C4" w:rsidP="00F012C4">
      <w:pPr>
        <w:rPr>
          <w:rFonts w:ascii="Arial" w:hAnsi="Arial" w:cs="Arial"/>
          <w:lang w:val="en-GB"/>
        </w:rPr>
      </w:pPr>
      <w:r>
        <w:rPr>
          <w:rFonts w:ascii="Arial" w:hAnsi="Arial" w:cs="Arial"/>
          <w:vertAlign w:val="superscript"/>
          <w:lang w:val="en-GB"/>
        </w:rPr>
        <w:t>3</w:t>
      </w:r>
      <w:r>
        <w:rPr>
          <w:rFonts w:ascii="Arial" w:hAnsi="Arial" w:cs="Arial"/>
          <w:lang w:val="en-GB"/>
        </w:rPr>
        <w:t>London Medical Laboratory</w:t>
      </w:r>
    </w:p>
    <w:p w14:paraId="003FC653" w14:textId="77777777" w:rsidR="00F012C4" w:rsidRPr="007703B9" w:rsidRDefault="00F012C4" w:rsidP="00F012C4">
      <w:pPr>
        <w:rPr>
          <w:rFonts w:ascii="Arial" w:hAnsi="Arial" w:cs="Arial"/>
          <w:lang w:val="en-GB"/>
        </w:rPr>
      </w:pPr>
      <w:r>
        <w:rPr>
          <w:rFonts w:ascii="Arial" w:hAnsi="Arial" w:cs="Arial"/>
          <w:vertAlign w:val="superscript"/>
          <w:lang w:val="en-GB"/>
        </w:rPr>
        <w:t>4</w:t>
      </w:r>
      <w:r>
        <w:rPr>
          <w:rFonts w:ascii="Arial" w:hAnsi="Arial" w:cs="Arial"/>
          <w:lang w:val="en-GB"/>
        </w:rPr>
        <w:t>Boditech Med Inc, Korea</w:t>
      </w:r>
    </w:p>
    <w:p w14:paraId="29A8105B" w14:textId="4EC30547" w:rsidR="00F012C4" w:rsidRDefault="00F012C4" w:rsidP="00F012C4">
      <w:pPr>
        <w:rPr>
          <w:rFonts w:ascii="Arial" w:hAnsi="Arial" w:cs="Arial"/>
          <w:lang w:val="en-GB"/>
        </w:rPr>
      </w:pPr>
    </w:p>
    <w:p w14:paraId="2AAE4E8F" w14:textId="0D586689" w:rsidR="00F012C4" w:rsidRPr="00F012C4" w:rsidRDefault="00F012C4" w:rsidP="00F012C4">
      <w:pPr>
        <w:rPr>
          <w:rFonts w:ascii="Arial" w:hAnsi="Arial" w:cs="Arial"/>
          <w:b/>
          <w:bCs/>
          <w:u w:val="single"/>
          <w:lang w:val="en-GB"/>
        </w:rPr>
      </w:pPr>
      <w:r w:rsidRPr="00F012C4">
        <w:rPr>
          <w:rFonts w:ascii="Arial" w:hAnsi="Arial" w:cs="Arial"/>
          <w:b/>
          <w:bCs/>
          <w:u w:val="single"/>
          <w:lang w:val="en-GB"/>
        </w:rPr>
        <w:t>Study Objectives</w:t>
      </w:r>
    </w:p>
    <w:p w14:paraId="13F8E702" w14:textId="77777777" w:rsidR="00F012C4" w:rsidRDefault="00F012C4" w:rsidP="00F012C4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We conducted a small pilot study on members of staff of a general practice during the pandemic period t</w:t>
      </w:r>
      <w:r w:rsidRPr="00A7263D">
        <w:rPr>
          <w:rFonts w:ascii="Arial" w:hAnsi="Arial" w:cs="Arial"/>
          <w:lang w:val="en-GB"/>
        </w:rPr>
        <w:t>o determine the positive percent agreement (PPA)</w:t>
      </w:r>
      <w:r>
        <w:rPr>
          <w:rFonts w:ascii="Arial" w:hAnsi="Arial" w:cs="Arial"/>
          <w:lang w:val="en-GB"/>
        </w:rPr>
        <w:t xml:space="preserve"> and negative percent agreement (NPA) between the 2 methods. Both methods IgG assays are designed to detect immunoglobulin class G (IgG) antibodies to the nucleocapsid protein of SARS-Cov-2.</w:t>
      </w:r>
    </w:p>
    <w:p w14:paraId="1C843F86" w14:textId="278826B1" w:rsidR="00F012C4" w:rsidRPr="00F012C4" w:rsidRDefault="00F012C4" w:rsidP="00F012C4">
      <w:pPr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  <w:t>Materials &amp; Methods</w:t>
      </w:r>
    </w:p>
    <w:p w14:paraId="2F88415D" w14:textId="23A994DC" w:rsidR="00F012C4" w:rsidRDefault="00F012C4" w:rsidP="00F012C4">
      <w:pPr>
        <w:rPr>
          <w:rFonts w:ascii="Arial" w:hAnsi="Arial" w:cs="Arial"/>
          <w:lang w:val="en-GB"/>
        </w:rPr>
      </w:pPr>
    </w:p>
    <w:p w14:paraId="58AAEEEE" w14:textId="77777777" w:rsidR="00F012C4" w:rsidRDefault="00F012C4" w:rsidP="00F012C4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Abbott Architect Method Principle: The assay is an automated, two step </w:t>
      </w:r>
      <w:proofErr w:type="gramStart"/>
      <w:r>
        <w:rPr>
          <w:rFonts w:ascii="Arial" w:hAnsi="Arial" w:cs="Arial"/>
          <w:lang w:val="en-GB"/>
        </w:rPr>
        <w:t>immunoassay</w:t>
      </w:r>
      <w:proofErr w:type="gramEnd"/>
      <w:r>
        <w:rPr>
          <w:rFonts w:ascii="Arial" w:hAnsi="Arial" w:cs="Arial"/>
          <w:lang w:val="en-GB"/>
        </w:rPr>
        <w:t xml:space="preserve"> to detect qualitatively IgG antibodies to SARS-Cov-2 in plasma and serum samples using a chemiluminescent microparticle immunoassay (CMIS). The resulting chemiluminescent reaction is measured as a relative light unit (RLU). There is a direct relationship between the amount of the IgG antibodies to SARS-Cov-2 in the sample and the RLU detected by the system optics. The relationship is reflected in the calculated index (S/C). The presence or absence of the IgG antibodies to SARS-Cov-2 in the sample is determined by comparing the chemiluminescent RLU in the reaction to the calibrator RLU. Abbott Architect processes using a cut off index of 1.4, results &lt;1.4 are interpreted as negative, results &gt;1.4 are interpreted as positive. </w:t>
      </w:r>
    </w:p>
    <w:p w14:paraId="309D0AEF" w14:textId="64A65667" w:rsidR="00F012C4" w:rsidRDefault="00F012C4" w:rsidP="00F012C4">
      <w:pPr>
        <w:jc w:val="both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Boditech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iCHROMA</w:t>
      </w:r>
      <w:proofErr w:type="spellEnd"/>
      <w:r>
        <w:rPr>
          <w:rFonts w:ascii="Arial" w:hAnsi="Arial" w:cs="Arial"/>
          <w:lang w:val="en-GB"/>
        </w:rPr>
        <w:t xml:space="preserve"> Method Principle: The test uses a sandwich immunodetection method; fluorescence labelled conjugates in a dried detection buffer binds to antibody in sample, forming antibody-antigen complexes, and migrates onto nitrocellulose matrix to be captured by the other immobilized anti-human IgG on test strip. The more antigen-antibody complexes lead to stronger fluorescence signal by the detector antigen which is processed by </w:t>
      </w:r>
      <w:proofErr w:type="spellStart"/>
      <w:r>
        <w:rPr>
          <w:rFonts w:ascii="Arial" w:hAnsi="Arial" w:cs="Arial"/>
          <w:lang w:val="en-GB"/>
        </w:rPr>
        <w:t>iCHROMA</w:t>
      </w:r>
      <w:proofErr w:type="spellEnd"/>
      <w:r>
        <w:rPr>
          <w:rFonts w:ascii="Arial" w:hAnsi="Arial" w:cs="Arial"/>
          <w:lang w:val="en-GB"/>
        </w:rPr>
        <w:t xml:space="preserve">™.The  </w:t>
      </w:r>
      <w:proofErr w:type="spellStart"/>
      <w:r>
        <w:rPr>
          <w:rFonts w:ascii="Arial" w:hAnsi="Arial" w:cs="Arial"/>
          <w:lang w:val="en-GB"/>
        </w:rPr>
        <w:t>iCHROMA</w:t>
      </w:r>
      <w:proofErr w:type="spellEnd"/>
      <w:r>
        <w:rPr>
          <w:rFonts w:ascii="Arial" w:hAnsi="Arial" w:cs="Arial"/>
          <w:lang w:val="en-GB"/>
        </w:rPr>
        <w:t>™ processes the signal using a cut off index of 0.9 – 1.1, results &lt;0.9 are interpreted as negative, results between 0.9 and 1.1 are interpreted as indeterminate and results &gt;1.1 are interpreted as positive.</w:t>
      </w:r>
    </w:p>
    <w:p w14:paraId="3BC093BD" w14:textId="4A24F1F5" w:rsidR="00F012C4" w:rsidRDefault="00F012C4" w:rsidP="00F012C4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Fifty</w:t>
      </w:r>
      <w:r>
        <w:rPr>
          <w:rFonts w:ascii="Arial" w:hAnsi="Arial" w:cs="Arial"/>
          <w:lang w:val="en-GB"/>
        </w:rPr>
        <w:t xml:space="preserve"> plasma samples were collected from staff</w:t>
      </w:r>
      <w:r>
        <w:rPr>
          <w:rFonts w:ascii="Arial" w:hAnsi="Arial" w:cs="Arial"/>
          <w:lang w:val="en-GB"/>
        </w:rPr>
        <w:t xml:space="preserve"> and patients </w:t>
      </w:r>
      <w:r>
        <w:rPr>
          <w:rFonts w:ascii="Arial" w:hAnsi="Arial" w:cs="Arial"/>
          <w:lang w:val="en-GB"/>
        </w:rPr>
        <w:t>of a GP practice with and without symptoms of Covid-19. The patients that were highly suspected on having Covid-19 had their swab samples taken and the samples were sent of</w:t>
      </w:r>
      <w:r>
        <w:rPr>
          <w:rFonts w:ascii="Arial" w:hAnsi="Arial" w:cs="Arial"/>
          <w:lang w:val="en-GB"/>
        </w:rPr>
        <w:t>f</w:t>
      </w:r>
      <w:r>
        <w:rPr>
          <w:rFonts w:ascii="Arial" w:hAnsi="Arial" w:cs="Arial"/>
          <w:lang w:val="en-GB"/>
        </w:rPr>
        <w:t xml:space="preserve"> to a private laboratory to have </w:t>
      </w:r>
      <w:r w:rsidRPr="00C951A2">
        <w:rPr>
          <w:rFonts w:ascii="Arial" w:hAnsi="Arial" w:cs="Arial"/>
          <w:lang w:val="en-GB"/>
        </w:rPr>
        <w:t>SARS-Cov-2 PCR assay</w:t>
      </w:r>
      <w:r>
        <w:rPr>
          <w:rFonts w:ascii="Arial" w:hAnsi="Arial" w:cs="Arial"/>
          <w:lang w:val="en-GB"/>
        </w:rPr>
        <w:t xml:space="preserve"> done.</w:t>
      </w:r>
    </w:p>
    <w:p w14:paraId="19C04136" w14:textId="55547EF2" w:rsidR="00F012C4" w:rsidRPr="00F012C4" w:rsidRDefault="00F012C4" w:rsidP="00F012C4">
      <w:pPr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  <w:lastRenderedPageBreak/>
        <w:t>Results</w:t>
      </w:r>
    </w:p>
    <w:p w14:paraId="5204EF77" w14:textId="46436441" w:rsidR="00F012C4" w:rsidRDefault="00F012C4" w:rsidP="00F012C4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samples were run on the Abbott Architect 1 System using the SARS-CoV-2 IgG assay, 20</w:t>
      </w:r>
      <w:r w:rsidRPr="00EA05E1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(40%) of the plasma</w:t>
      </w:r>
      <w:r w:rsidRPr="00EA05E1">
        <w:rPr>
          <w:rFonts w:ascii="Arial" w:hAnsi="Arial" w:cs="Arial"/>
          <w:lang w:val="en-GB"/>
        </w:rPr>
        <w:t xml:space="preserve"> samples assayed were </w:t>
      </w:r>
      <w:r>
        <w:rPr>
          <w:rFonts w:ascii="Arial" w:hAnsi="Arial" w:cs="Arial"/>
          <w:lang w:val="en-GB"/>
        </w:rPr>
        <w:t>identified as</w:t>
      </w:r>
      <w:r w:rsidRPr="00EA05E1">
        <w:rPr>
          <w:rFonts w:ascii="Arial" w:hAnsi="Arial" w:cs="Arial"/>
          <w:lang w:val="en-GB"/>
        </w:rPr>
        <w:t xml:space="preserve"> positive</w:t>
      </w:r>
      <w:r>
        <w:rPr>
          <w:rFonts w:ascii="Arial" w:hAnsi="Arial" w:cs="Arial"/>
          <w:lang w:val="en-GB"/>
        </w:rPr>
        <w:t xml:space="preserve"> and the remaining 30</w:t>
      </w:r>
      <w:r w:rsidRPr="00EA05E1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(60%) of the plasma samples</w:t>
      </w:r>
      <w:r w:rsidRPr="00EA05E1">
        <w:rPr>
          <w:rFonts w:ascii="Arial" w:hAnsi="Arial" w:cs="Arial"/>
          <w:lang w:val="en-GB"/>
        </w:rPr>
        <w:t xml:space="preserve"> assayed </w:t>
      </w:r>
      <w:r>
        <w:rPr>
          <w:rFonts w:ascii="Arial" w:hAnsi="Arial" w:cs="Arial"/>
          <w:lang w:val="en-GB"/>
        </w:rPr>
        <w:t>were identified as</w:t>
      </w:r>
      <w:r w:rsidRPr="00EA05E1">
        <w:rPr>
          <w:rFonts w:ascii="Arial" w:hAnsi="Arial" w:cs="Arial"/>
          <w:lang w:val="en-GB"/>
        </w:rPr>
        <w:t xml:space="preserve"> negative</w:t>
      </w:r>
      <w:r>
        <w:rPr>
          <w:rFonts w:ascii="Arial" w:hAnsi="Arial" w:cs="Arial"/>
          <w:lang w:val="en-GB"/>
        </w:rPr>
        <w:t xml:space="preserve">. The plasma samples were subsequently run on the </w:t>
      </w:r>
      <w:proofErr w:type="spellStart"/>
      <w:r>
        <w:rPr>
          <w:rFonts w:ascii="Arial" w:hAnsi="Arial" w:cs="Arial"/>
          <w:lang w:val="en-GB"/>
        </w:rPr>
        <w:t>iCHROMA</w:t>
      </w:r>
      <w:proofErr w:type="spellEnd"/>
      <w:r>
        <w:rPr>
          <w:rFonts w:ascii="Arial" w:hAnsi="Arial" w:cs="Arial"/>
          <w:lang w:val="en-GB"/>
        </w:rPr>
        <w:t xml:space="preserve"> using the Covid-19 antibody test. All the 20 positive samples (100%) were identified by the </w:t>
      </w:r>
      <w:proofErr w:type="spellStart"/>
      <w:r>
        <w:rPr>
          <w:rFonts w:ascii="Arial" w:hAnsi="Arial" w:cs="Arial"/>
          <w:lang w:val="en-GB"/>
        </w:rPr>
        <w:t>Boditech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iCHROMA</w:t>
      </w:r>
      <w:proofErr w:type="spellEnd"/>
      <w:r>
        <w:rPr>
          <w:rFonts w:ascii="Arial" w:hAnsi="Arial" w:cs="Arial"/>
          <w:lang w:val="en-GB"/>
        </w:rPr>
        <w:t xml:space="preserve"> method as positive and 27 (90%) of the 30 negative samples were identified as negative</w:t>
      </w:r>
      <w:r w:rsidRPr="00D30846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by the </w:t>
      </w:r>
      <w:proofErr w:type="spellStart"/>
      <w:r>
        <w:rPr>
          <w:rFonts w:ascii="Arial" w:hAnsi="Arial" w:cs="Arial"/>
          <w:lang w:val="en-GB"/>
        </w:rPr>
        <w:t>Boditech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iCHROMA</w:t>
      </w:r>
      <w:proofErr w:type="spellEnd"/>
      <w:r>
        <w:rPr>
          <w:rFonts w:ascii="Arial" w:hAnsi="Arial" w:cs="Arial"/>
          <w:lang w:val="en-GB"/>
        </w:rPr>
        <w:t xml:space="preserve"> method. The 3 negative samples identified by the Abbott SARS-CoV-2 IgG assay</w:t>
      </w:r>
      <w:r w:rsidR="00EC4D54">
        <w:rPr>
          <w:rFonts w:ascii="Arial" w:hAnsi="Arial" w:cs="Arial"/>
          <w:lang w:val="en-GB"/>
        </w:rPr>
        <w:t>,</w:t>
      </w:r>
      <w:r>
        <w:rPr>
          <w:rFonts w:ascii="Arial" w:hAnsi="Arial" w:cs="Arial"/>
          <w:lang w:val="en-GB"/>
        </w:rPr>
        <w:t xml:space="preserve"> as positive by the </w:t>
      </w:r>
      <w:proofErr w:type="spellStart"/>
      <w:r>
        <w:rPr>
          <w:rFonts w:ascii="Arial" w:hAnsi="Arial" w:cs="Arial"/>
          <w:lang w:val="en-GB"/>
        </w:rPr>
        <w:t>Boditech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iCHROMA</w:t>
      </w:r>
      <w:proofErr w:type="spellEnd"/>
      <w:r>
        <w:rPr>
          <w:rFonts w:ascii="Arial" w:hAnsi="Arial" w:cs="Arial"/>
          <w:lang w:val="en-GB"/>
        </w:rPr>
        <w:t xml:space="preserve"> method might be due to the increased sensitivity of the </w:t>
      </w:r>
      <w:proofErr w:type="spellStart"/>
      <w:r>
        <w:rPr>
          <w:rFonts w:ascii="Arial" w:hAnsi="Arial" w:cs="Arial"/>
          <w:lang w:val="en-GB"/>
        </w:rPr>
        <w:t>Boditech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iCHROMA</w:t>
      </w:r>
      <w:proofErr w:type="spellEnd"/>
      <w:r>
        <w:rPr>
          <w:rFonts w:ascii="Arial" w:hAnsi="Arial" w:cs="Arial"/>
          <w:lang w:val="en-GB"/>
        </w:rPr>
        <w:t xml:space="preserve"> method or reduced sensitivity of the Abbott SARS-CoV-2 IgG assay</w:t>
      </w:r>
      <w:r w:rsidR="00EC4D54">
        <w:rPr>
          <w:rFonts w:ascii="Arial" w:hAnsi="Arial" w:cs="Arial"/>
          <w:lang w:val="en-GB"/>
        </w:rPr>
        <w:t xml:space="preserve"> based on their respective cut-off index</w:t>
      </w:r>
      <w:r>
        <w:rPr>
          <w:rFonts w:ascii="Arial" w:hAnsi="Arial" w:cs="Arial"/>
          <w:lang w:val="en-GB"/>
        </w:rPr>
        <w:t>.</w:t>
      </w:r>
    </w:p>
    <w:p w14:paraId="4B54559F" w14:textId="053AE600" w:rsidR="00F012C4" w:rsidRDefault="00F012C4" w:rsidP="00F012C4">
      <w:pPr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  <w:t>Conclusion:</w:t>
      </w:r>
    </w:p>
    <w:p w14:paraId="3F96522F" w14:textId="7C9BA2EA" w:rsidR="00F012C4" w:rsidRDefault="00F012C4" w:rsidP="00F012C4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</w:t>
      </w:r>
      <w:r>
        <w:rPr>
          <w:rFonts w:ascii="Arial" w:hAnsi="Arial" w:cs="Arial"/>
          <w:lang w:val="en-GB"/>
        </w:rPr>
        <w:t xml:space="preserve">he </w:t>
      </w:r>
      <w:proofErr w:type="spellStart"/>
      <w:r>
        <w:rPr>
          <w:rFonts w:ascii="Arial" w:hAnsi="Arial" w:cs="Arial"/>
          <w:lang w:val="en-GB"/>
        </w:rPr>
        <w:t>Boditech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iCHROMA</w:t>
      </w:r>
      <w:proofErr w:type="spellEnd"/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IgG </w:t>
      </w:r>
      <w:r>
        <w:rPr>
          <w:rFonts w:ascii="Arial" w:hAnsi="Arial" w:cs="Arial"/>
          <w:lang w:val="en-GB"/>
        </w:rPr>
        <w:t xml:space="preserve">method </w:t>
      </w:r>
      <w:r>
        <w:rPr>
          <w:rFonts w:ascii="Arial" w:hAnsi="Arial" w:cs="Arial"/>
          <w:lang w:val="en-GB"/>
        </w:rPr>
        <w:t>agrees 100% with the positive and 90% with the negatives of</w:t>
      </w:r>
      <w:r>
        <w:rPr>
          <w:rFonts w:ascii="Arial" w:hAnsi="Arial" w:cs="Arial"/>
          <w:lang w:val="en-GB"/>
        </w:rPr>
        <w:t xml:space="preserve"> the Abbott SARS-CoV-2 IgG assay.</w:t>
      </w:r>
    </w:p>
    <w:p w14:paraId="6AAD943C" w14:textId="77777777" w:rsidR="00F012C4" w:rsidRPr="00F012C4" w:rsidRDefault="00F012C4" w:rsidP="00F012C4">
      <w:pPr>
        <w:rPr>
          <w:rFonts w:ascii="Arial" w:hAnsi="Arial" w:cs="Arial"/>
          <w:b/>
          <w:bCs/>
          <w:u w:val="single"/>
          <w:lang w:val="en-GB"/>
        </w:rPr>
      </w:pPr>
    </w:p>
    <w:p w14:paraId="7494512B" w14:textId="77777777" w:rsidR="00F012C4" w:rsidRDefault="00F012C4" w:rsidP="00F012C4">
      <w:pPr>
        <w:jc w:val="both"/>
        <w:rPr>
          <w:rFonts w:ascii="Arial" w:hAnsi="Arial" w:cs="Arial"/>
          <w:lang w:val="en-GB"/>
        </w:rPr>
      </w:pPr>
    </w:p>
    <w:p w14:paraId="226397E0" w14:textId="77777777" w:rsidR="00F012C4" w:rsidRDefault="00F012C4" w:rsidP="00F012C4">
      <w:pPr>
        <w:jc w:val="both"/>
        <w:rPr>
          <w:rFonts w:ascii="Arial" w:hAnsi="Arial" w:cs="Arial"/>
          <w:lang w:val="en-GB"/>
        </w:rPr>
      </w:pPr>
    </w:p>
    <w:p w14:paraId="4EE9B36A" w14:textId="77777777" w:rsidR="00F012C4" w:rsidRDefault="00F012C4"/>
    <w:sectPr w:rsidR="00F012C4" w:rsidSect="00F012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10BCE1" w14:textId="77777777" w:rsidR="00ED6E1A" w:rsidRDefault="00ED6E1A" w:rsidP="00F012C4">
      <w:pPr>
        <w:spacing w:after="0" w:line="240" w:lineRule="auto"/>
      </w:pPr>
      <w:r>
        <w:separator/>
      </w:r>
    </w:p>
  </w:endnote>
  <w:endnote w:type="continuationSeparator" w:id="0">
    <w:p w14:paraId="2B57FEDE" w14:textId="77777777" w:rsidR="00ED6E1A" w:rsidRDefault="00ED6E1A" w:rsidP="00F01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C8D0C" w14:textId="77777777" w:rsidR="00F012C4" w:rsidRDefault="00F012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89419" w14:textId="77777777" w:rsidR="00F012C4" w:rsidRDefault="00F012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6AEAF" w14:textId="77777777" w:rsidR="00F012C4" w:rsidRDefault="00F012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B3B774" w14:textId="77777777" w:rsidR="00ED6E1A" w:rsidRDefault="00ED6E1A" w:rsidP="00F012C4">
      <w:pPr>
        <w:spacing w:after="0" w:line="240" w:lineRule="auto"/>
      </w:pPr>
      <w:r>
        <w:separator/>
      </w:r>
    </w:p>
  </w:footnote>
  <w:footnote w:type="continuationSeparator" w:id="0">
    <w:p w14:paraId="64DB273C" w14:textId="77777777" w:rsidR="00ED6E1A" w:rsidRDefault="00ED6E1A" w:rsidP="00F01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D71E4" w14:textId="77777777" w:rsidR="00F012C4" w:rsidRDefault="00F012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15891771"/>
      <w:docPartObj>
        <w:docPartGallery w:val="Watermarks"/>
        <w:docPartUnique/>
      </w:docPartObj>
    </w:sdtPr>
    <w:sdtContent>
      <w:p w14:paraId="451C5B51" w14:textId="0B6B75B2" w:rsidR="00F012C4" w:rsidRDefault="00F012C4">
        <w:pPr>
          <w:pStyle w:val="Header"/>
        </w:pPr>
        <w:r>
          <w:rPr>
            <w:noProof/>
          </w:rPr>
          <w:pict w14:anchorId="5598241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0456C" w14:textId="77777777" w:rsidR="00F012C4" w:rsidRDefault="00F012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2C4"/>
    <w:rsid w:val="00064580"/>
    <w:rsid w:val="00EC4D54"/>
    <w:rsid w:val="00ED6E1A"/>
    <w:rsid w:val="00F0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7054B1D"/>
  <w15:chartTrackingRefBased/>
  <w15:docId w15:val="{90ADC7AD-C907-4DB1-A072-74A9861C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2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2C4"/>
  </w:style>
  <w:style w:type="paragraph" w:styleId="Footer">
    <w:name w:val="footer"/>
    <w:basedOn w:val="Normal"/>
    <w:link w:val="FooterChar"/>
    <w:uiPriority w:val="99"/>
    <w:unhideWhenUsed/>
    <w:rsid w:val="00F01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Bolodeoku</dc:creator>
  <cp:keywords/>
  <dc:description/>
  <cp:lastModifiedBy>John Bolodeoku</cp:lastModifiedBy>
  <cp:revision>2</cp:revision>
  <dcterms:created xsi:type="dcterms:W3CDTF">2020-06-09T18:31:00Z</dcterms:created>
  <dcterms:modified xsi:type="dcterms:W3CDTF">2020-06-09T18:45:00Z</dcterms:modified>
</cp:coreProperties>
</file>