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CF1D" w14:textId="77777777" w:rsidR="00000000" w:rsidRDefault="004579E0">
      <w:pPr>
        <w:divId w:val="1002855937"/>
        <w:rPr>
          <w:rFonts w:eastAsia="Times New Roman"/>
          <w:vanish/>
          <w:sz w:val="20"/>
          <w:szCs w:val="20"/>
        </w:rPr>
      </w:pPr>
      <w:bookmarkStart w:id="0" w:name="gfpform8-k.htm"/>
      <w:bookmarkEnd w:id="0"/>
      <w:r>
        <w:rPr>
          <w:rFonts w:eastAsia="Times New Roman"/>
          <w:vanish/>
          <w:sz w:val="20"/>
          <w:szCs w:val="20"/>
        </w:rPr>
        <w:t>000140294</w:t>
      </w:r>
      <w:r>
        <w:rPr>
          <w:rFonts w:eastAsia="Times New Roman"/>
          <w:vanish/>
          <w:sz w:val="20"/>
          <w:szCs w:val="20"/>
        </w:rPr>
        <w:t>5</w:t>
      </w:r>
      <w:r>
        <w:rPr>
          <w:rFonts w:eastAsia="Times New Roman"/>
          <w:vanish/>
          <w:sz w:val="20"/>
          <w:szCs w:val="20"/>
        </w:rPr>
        <w:t xml:space="preserve"> </w:t>
      </w:r>
      <w:r>
        <w:rPr>
          <w:rFonts w:eastAsia="Times New Roman"/>
          <w:vanish/>
          <w:sz w:val="20"/>
          <w:szCs w:val="20"/>
        </w:rPr>
        <w:t>fals</w:t>
      </w:r>
      <w:r>
        <w:rPr>
          <w:rFonts w:eastAsia="Times New Roman"/>
          <w:vanish/>
          <w:sz w:val="20"/>
          <w:szCs w:val="20"/>
        </w:rPr>
        <w:t>e</w:t>
      </w:r>
      <w:r>
        <w:rPr>
          <w:rFonts w:eastAsia="Times New Roman"/>
          <w:vanish/>
          <w:sz w:val="20"/>
          <w:szCs w:val="20"/>
        </w:rPr>
        <w:t xml:space="preserve"> </w:t>
      </w:r>
      <w:r>
        <w:rPr>
          <w:rFonts w:eastAsia="Times New Roman"/>
          <w:vanish/>
          <w:sz w:val="20"/>
          <w:szCs w:val="20"/>
        </w:rPr>
        <w:t>000140294</w:t>
      </w:r>
      <w:r>
        <w:rPr>
          <w:rFonts w:eastAsia="Times New Roman"/>
          <w:vanish/>
          <w:sz w:val="20"/>
          <w:szCs w:val="20"/>
        </w:rPr>
        <w:t>5</w:t>
      </w:r>
      <w:r>
        <w:rPr>
          <w:rFonts w:eastAsia="Times New Roman"/>
          <w:vanish/>
          <w:sz w:val="20"/>
          <w:szCs w:val="20"/>
        </w:rPr>
        <w:t xml:space="preserve"> </w:t>
      </w:r>
      <w:r>
        <w:rPr>
          <w:rFonts w:eastAsia="Times New Roman"/>
          <w:vanish/>
          <w:sz w:val="20"/>
          <w:szCs w:val="20"/>
        </w:rPr>
        <w:t>2022-08-1</w:t>
      </w:r>
      <w:r>
        <w:rPr>
          <w:rFonts w:eastAsia="Times New Roman"/>
          <w:vanish/>
          <w:sz w:val="20"/>
          <w:szCs w:val="20"/>
        </w:rPr>
        <w:t>2</w:t>
      </w:r>
      <w:r>
        <w:rPr>
          <w:rFonts w:eastAsia="Times New Roman"/>
          <w:vanish/>
          <w:sz w:val="20"/>
          <w:szCs w:val="20"/>
        </w:rPr>
        <w:t xml:space="preserve"> </w:t>
      </w:r>
      <w:r>
        <w:rPr>
          <w:rFonts w:eastAsia="Times New Roman"/>
          <w:vanish/>
          <w:sz w:val="20"/>
          <w:szCs w:val="20"/>
        </w:rPr>
        <w:t>2022-08-1</w:t>
      </w:r>
      <w:r>
        <w:rPr>
          <w:rFonts w:eastAsia="Times New Roman"/>
          <w:vanish/>
          <w:sz w:val="20"/>
          <w:szCs w:val="20"/>
        </w:rPr>
        <w:t>2</w:t>
      </w:r>
      <w:r>
        <w:rPr>
          <w:rFonts w:eastAsia="Times New Roman"/>
          <w:vanish/>
          <w:sz w:val="20"/>
          <w:szCs w:val="20"/>
        </w:rPr>
        <w:t xml:space="preserve"> </w:t>
      </w:r>
      <w:r>
        <w:rPr>
          <w:rFonts w:eastAsia="Times New Roman"/>
          <w:vanish/>
          <w:sz w:val="20"/>
          <w:szCs w:val="20"/>
        </w:rPr>
        <w:t>iso4217:US</w:t>
      </w:r>
      <w:r>
        <w:rPr>
          <w:rFonts w:eastAsia="Times New Roman"/>
          <w:vanish/>
          <w:sz w:val="20"/>
          <w:szCs w:val="20"/>
        </w:rPr>
        <w:t>D</w:t>
      </w:r>
      <w:r>
        <w:rPr>
          <w:rFonts w:eastAsia="Times New Roman"/>
          <w:vanish/>
          <w:sz w:val="20"/>
          <w:szCs w:val="20"/>
        </w:rPr>
        <w:t xml:space="preserve"> </w:t>
      </w:r>
      <w:r>
        <w:rPr>
          <w:rFonts w:eastAsia="Times New Roman"/>
          <w:vanish/>
          <w:sz w:val="20"/>
          <w:szCs w:val="20"/>
        </w:rPr>
        <w:t>xbrli:share</w:t>
      </w:r>
      <w:r>
        <w:rPr>
          <w:rFonts w:eastAsia="Times New Roman"/>
          <w:vanish/>
          <w:sz w:val="20"/>
          <w:szCs w:val="20"/>
        </w:rPr>
        <w:t>s</w:t>
      </w:r>
      <w:r>
        <w:rPr>
          <w:rFonts w:eastAsia="Times New Roman"/>
          <w:vanish/>
          <w:sz w:val="20"/>
          <w:szCs w:val="20"/>
        </w:rPr>
        <w:t xml:space="preserve"> </w:t>
      </w:r>
      <w:r>
        <w:rPr>
          <w:rFonts w:eastAsia="Times New Roman"/>
          <w:vanish/>
          <w:sz w:val="20"/>
          <w:szCs w:val="20"/>
        </w:rPr>
        <w:t>iso4217:US</w:t>
      </w:r>
      <w:r>
        <w:rPr>
          <w:rFonts w:eastAsia="Times New Roman"/>
          <w:vanish/>
          <w:sz w:val="20"/>
          <w:szCs w:val="20"/>
        </w:rPr>
        <w:t>D</w:t>
      </w:r>
      <w:r>
        <w:rPr>
          <w:rFonts w:eastAsia="Times New Roman"/>
          <w:vanish/>
          <w:sz w:val="20"/>
          <w:szCs w:val="20"/>
        </w:rPr>
        <w:t xml:space="preserve"> </w:t>
      </w:r>
      <w:r>
        <w:rPr>
          <w:rFonts w:eastAsia="Times New Roman"/>
          <w:vanish/>
          <w:sz w:val="20"/>
          <w:szCs w:val="20"/>
        </w:rPr>
        <w:t>xbrli:share</w:t>
      </w:r>
      <w:r>
        <w:rPr>
          <w:rFonts w:eastAsia="Times New Roman"/>
          <w:vanish/>
          <w:sz w:val="20"/>
          <w:szCs w:val="20"/>
        </w:rPr>
        <w:t>s</w:t>
      </w:r>
      <w:r>
        <w:rPr>
          <w:rFonts w:eastAsia="Times New Roman"/>
          <w:vanish/>
          <w:sz w:val="20"/>
          <w:szCs w:val="20"/>
        </w:rPr>
        <w:t xml:space="preserve"> </w:t>
      </w:r>
    </w:p>
    <w:p w14:paraId="44EC4AB3" w14:textId="77777777" w:rsidR="00000000" w:rsidRDefault="004579E0">
      <w:pPr>
        <w:pStyle w:val="NormalWeb"/>
        <w:spacing w:before="0" w:beforeAutospacing="0" w:after="0" w:afterAutospacing="0"/>
        <w:jc w:val="center"/>
        <w:divId w:val="187643294"/>
        <w:rPr>
          <w:sz w:val="20"/>
          <w:szCs w:val="20"/>
        </w:rPr>
      </w:pPr>
      <w:r>
        <w:rPr>
          <w:b/>
          <w:bCs/>
          <w:sz w:val="20"/>
          <w:szCs w:val="20"/>
        </w:rPr>
        <w:t> </w:t>
      </w:r>
    </w:p>
    <w:p w14:paraId="37FA9396" w14:textId="77777777" w:rsidR="00000000" w:rsidRDefault="004579E0">
      <w:pPr>
        <w:divId w:val="1763453778"/>
        <w:rPr>
          <w:rFonts w:eastAsia="Times New Roman"/>
          <w:sz w:val="2"/>
          <w:szCs w:val="2"/>
        </w:rPr>
      </w:pPr>
      <w:r>
        <w:rPr>
          <w:rFonts w:eastAsia="Times New Roman"/>
          <w:sz w:val="2"/>
          <w:szCs w:val="2"/>
        </w:rPr>
        <w:t> </w:t>
      </w:r>
    </w:p>
    <w:p w14:paraId="22FCC42D" w14:textId="77777777" w:rsidR="00000000" w:rsidRDefault="004579E0">
      <w:pPr>
        <w:pStyle w:val="NormalWeb"/>
        <w:spacing w:before="0" w:beforeAutospacing="0" w:after="0" w:afterAutospacing="0"/>
        <w:jc w:val="center"/>
        <w:divId w:val="187643294"/>
        <w:rPr>
          <w:sz w:val="20"/>
          <w:szCs w:val="20"/>
        </w:rPr>
      </w:pPr>
      <w:r>
        <w:rPr>
          <w:b/>
          <w:bCs/>
          <w:sz w:val="20"/>
          <w:szCs w:val="20"/>
        </w:rPr>
        <w:t> </w:t>
      </w:r>
    </w:p>
    <w:p w14:paraId="55FEAE4A" w14:textId="77777777" w:rsidR="00000000" w:rsidRDefault="004579E0">
      <w:pPr>
        <w:pStyle w:val="NormalWeb"/>
        <w:spacing w:before="0" w:beforeAutospacing="0" w:after="0" w:afterAutospacing="0"/>
        <w:jc w:val="center"/>
        <w:divId w:val="187643294"/>
        <w:rPr>
          <w:sz w:val="20"/>
          <w:szCs w:val="20"/>
        </w:rPr>
      </w:pPr>
      <w:r>
        <w:rPr>
          <w:b/>
          <w:bCs/>
          <w:sz w:val="36"/>
          <w:szCs w:val="36"/>
        </w:rPr>
        <w:t>UNITED STATES</w:t>
      </w:r>
    </w:p>
    <w:p w14:paraId="267132B6" w14:textId="77777777" w:rsidR="00000000" w:rsidRDefault="004579E0">
      <w:pPr>
        <w:pStyle w:val="NormalWeb"/>
        <w:spacing w:before="0" w:beforeAutospacing="0" w:after="0" w:afterAutospacing="0"/>
        <w:jc w:val="center"/>
        <w:divId w:val="187643294"/>
        <w:rPr>
          <w:sz w:val="20"/>
          <w:szCs w:val="20"/>
        </w:rPr>
      </w:pPr>
      <w:r>
        <w:rPr>
          <w:b/>
          <w:bCs/>
          <w:sz w:val="36"/>
          <w:szCs w:val="36"/>
        </w:rPr>
        <w:t>SECURITIES AND EXCHANGE COMMISSION</w:t>
      </w:r>
    </w:p>
    <w:p w14:paraId="5FB3442F" w14:textId="77777777" w:rsidR="00000000" w:rsidRDefault="004579E0">
      <w:pPr>
        <w:pStyle w:val="NormalWeb"/>
        <w:spacing w:before="0" w:beforeAutospacing="0" w:after="0" w:afterAutospacing="0"/>
        <w:jc w:val="center"/>
        <w:divId w:val="187643294"/>
        <w:rPr>
          <w:sz w:val="20"/>
          <w:szCs w:val="20"/>
        </w:rPr>
      </w:pPr>
      <w:r>
        <w:rPr>
          <w:b/>
          <w:bCs/>
        </w:rPr>
        <w:t>Washington, D.C. 20549</w:t>
      </w:r>
    </w:p>
    <w:p w14:paraId="7B4BB7A1" w14:textId="77777777" w:rsidR="00000000" w:rsidRDefault="004579E0">
      <w:pPr>
        <w:pStyle w:val="NormalWeb"/>
        <w:spacing w:before="0" w:beforeAutospacing="0" w:after="0" w:afterAutospacing="0"/>
        <w:jc w:val="center"/>
        <w:divId w:val="187643294"/>
        <w:rPr>
          <w:sz w:val="20"/>
          <w:szCs w:val="20"/>
        </w:rPr>
      </w:pPr>
      <w:r>
        <w:rPr>
          <w:b/>
          <w:bCs/>
          <w:sz w:val="20"/>
          <w:szCs w:val="20"/>
        </w:rPr>
        <w:t> </w:t>
      </w:r>
    </w:p>
    <w:p w14:paraId="22D0A5A8" w14:textId="77777777" w:rsidR="00000000" w:rsidRDefault="004579E0">
      <w:pPr>
        <w:divId w:val="829173495"/>
        <w:rPr>
          <w:rFonts w:eastAsia="Times New Roman"/>
          <w:sz w:val="2"/>
          <w:szCs w:val="2"/>
        </w:rPr>
      </w:pPr>
      <w:r>
        <w:rPr>
          <w:rFonts w:eastAsia="Times New Roman"/>
          <w:sz w:val="2"/>
          <w:szCs w:val="2"/>
        </w:rPr>
        <w:t> </w:t>
      </w:r>
    </w:p>
    <w:p w14:paraId="396FF5C6" w14:textId="77777777" w:rsidR="00000000" w:rsidRDefault="004579E0">
      <w:pPr>
        <w:pStyle w:val="NormalWeb"/>
        <w:spacing w:before="0" w:beforeAutospacing="0" w:after="0" w:afterAutospacing="0"/>
        <w:jc w:val="center"/>
        <w:divId w:val="187643294"/>
        <w:rPr>
          <w:sz w:val="20"/>
          <w:szCs w:val="20"/>
        </w:rPr>
      </w:pPr>
      <w:r>
        <w:rPr>
          <w:b/>
          <w:bCs/>
          <w:sz w:val="20"/>
          <w:szCs w:val="20"/>
        </w:rPr>
        <w:t> </w:t>
      </w:r>
    </w:p>
    <w:p w14:paraId="17347B4F" w14:textId="77777777" w:rsidR="00000000" w:rsidRDefault="004579E0">
      <w:pPr>
        <w:pStyle w:val="NormalWeb"/>
        <w:spacing w:before="0" w:beforeAutospacing="0" w:after="0" w:afterAutospacing="0"/>
        <w:jc w:val="center"/>
        <w:divId w:val="187643294"/>
        <w:rPr>
          <w:sz w:val="20"/>
          <w:szCs w:val="20"/>
        </w:rPr>
      </w:pPr>
      <w:r>
        <w:rPr>
          <w:b/>
          <w:bCs/>
          <w:sz w:val="36"/>
          <w:szCs w:val="36"/>
        </w:rPr>
        <w:t>FORM</w:t>
      </w:r>
      <w:r>
        <w:rPr>
          <w:b/>
          <w:bCs/>
          <w:sz w:val="36"/>
          <w:szCs w:val="36"/>
        </w:rPr>
        <w:t xml:space="preserve"> </w:t>
      </w:r>
      <w:r>
        <w:rPr>
          <w:b/>
          <w:bCs/>
          <w:sz w:val="36"/>
          <w:szCs w:val="36"/>
        </w:rPr>
        <w:t>8-</w:t>
      </w:r>
      <w:r>
        <w:rPr>
          <w:b/>
          <w:bCs/>
          <w:sz w:val="36"/>
          <w:szCs w:val="36"/>
        </w:rPr>
        <w:t>K</w:t>
      </w:r>
    </w:p>
    <w:p w14:paraId="536B3906" w14:textId="77777777" w:rsidR="00000000" w:rsidRDefault="004579E0">
      <w:pPr>
        <w:pStyle w:val="NormalWeb"/>
        <w:spacing w:before="0" w:beforeAutospacing="0" w:after="0" w:afterAutospacing="0"/>
        <w:jc w:val="center"/>
        <w:divId w:val="187643294"/>
        <w:rPr>
          <w:sz w:val="20"/>
          <w:szCs w:val="20"/>
        </w:rPr>
      </w:pPr>
      <w:r>
        <w:rPr>
          <w:b/>
          <w:bCs/>
          <w:sz w:val="20"/>
          <w:szCs w:val="20"/>
        </w:rPr>
        <w:t> </w:t>
      </w:r>
    </w:p>
    <w:p w14:paraId="53778547" w14:textId="77777777" w:rsidR="00000000" w:rsidRDefault="004579E0">
      <w:pPr>
        <w:divId w:val="1149637208"/>
        <w:rPr>
          <w:rFonts w:eastAsia="Times New Roman"/>
          <w:sz w:val="2"/>
          <w:szCs w:val="2"/>
        </w:rPr>
      </w:pPr>
      <w:r>
        <w:rPr>
          <w:rFonts w:eastAsia="Times New Roman"/>
          <w:sz w:val="2"/>
          <w:szCs w:val="2"/>
        </w:rPr>
        <w:t> </w:t>
      </w:r>
    </w:p>
    <w:p w14:paraId="2B40D66D" w14:textId="77777777" w:rsidR="00000000" w:rsidRDefault="004579E0">
      <w:pPr>
        <w:pStyle w:val="NormalWeb"/>
        <w:spacing w:before="0" w:beforeAutospacing="0" w:after="0" w:afterAutospacing="0"/>
        <w:jc w:val="center"/>
        <w:divId w:val="187643294"/>
        <w:rPr>
          <w:sz w:val="20"/>
          <w:szCs w:val="20"/>
        </w:rPr>
      </w:pPr>
      <w:r>
        <w:rPr>
          <w:b/>
          <w:bCs/>
          <w:sz w:val="20"/>
          <w:szCs w:val="20"/>
        </w:rPr>
        <w:t> </w:t>
      </w:r>
    </w:p>
    <w:p w14:paraId="716EE112" w14:textId="77777777" w:rsidR="00000000" w:rsidRDefault="004579E0">
      <w:pPr>
        <w:pStyle w:val="NormalWeb"/>
        <w:spacing w:before="0" w:beforeAutospacing="0" w:after="0" w:afterAutospacing="0"/>
        <w:jc w:val="center"/>
        <w:divId w:val="187643294"/>
        <w:rPr>
          <w:sz w:val="20"/>
          <w:szCs w:val="20"/>
        </w:rPr>
      </w:pPr>
      <w:r>
        <w:rPr>
          <w:b/>
          <w:bCs/>
          <w:sz w:val="20"/>
          <w:szCs w:val="20"/>
        </w:rPr>
        <w:t>CURRENT REPORT</w:t>
      </w:r>
    </w:p>
    <w:p w14:paraId="45BD68B3" w14:textId="77777777" w:rsidR="00000000" w:rsidRDefault="004579E0">
      <w:pPr>
        <w:pStyle w:val="NormalWeb"/>
        <w:spacing w:before="0" w:beforeAutospacing="0" w:after="0" w:afterAutospacing="0"/>
        <w:jc w:val="center"/>
        <w:divId w:val="187643294"/>
        <w:rPr>
          <w:sz w:val="20"/>
          <w:szCs w:val="20"/>
        </w:rPr>
      </w:pPr>
      <w:r>
        <w:rPr>
          <w:b/>
          <w:bCs/>
          <w:sz w:val="20"/>
          <w:szCs w:val="20"/>
        </w:rPr>
        <w:t xml:space="preserve">Pursuant </w:t>
      </w:r>
      <w:r>
        <w:rPr>
          <w:b/>
          <w:bCs/>
          <w:sz w:val="20"/>
          <w:szCs w:val="20"/>
        </w:rPr>
        <w:t>to Section 13 or 15(d) of the Securities Exchange Act of 1934</w:t>
      </w:r>
    </w:p>
    <w:p w14:paraId="0E6669EE" w14:textId="77777777" w:rsidR="00000000" w:rsidRDefault="004579E0">
      <w:pPr>
        <w:pStyle w:val="NormalWeb"/>
        <w:spacing w:before="0" w:beforeAutospacing="0" w:after="0" w:afterAutospacing="0"/>
        <w:jc w:val="center"/>
        <w:divId w:val="187643294"/>
        <w:rPr>
          <w:sz w:val="20"/>
          <w:szCs w:val="20"/>
        </w:rPr>
      </w:pPr>
      <w:r>
        <w:rPr>
          <w:b/>
          <w:bCs/>
          <w:sz w:val="20"/>
          <w:szCs w:val="20"/>
        </w:rPr>
        <w:t> </w:t>
      </w:r>
    </w:p>
    <w:p w14:paraId="09FA8D35" w14:textId="77777777" w:rsidR="00000000" w:rsidRDefault="004579E0">
      <w:pPr>
        <w:pStyle w:val="NormalWeb"/>
        <w:spacing w:before="0" w:beforeAutospacing="0" w:after="0" w:afterAutospacing="0"/>
        <w:jc w:val="center"/>
        <w:divId w:val="187643294"/>
        <w:rPr>
          <w:sz w:val="20"/>
          <w:szCs w:val="20"/>
        </w:rPr>
      </w:pPr>
      <w:r>
        <w:rPr>
          <w:b/>
          <w:bCs/>
          <w:sz w:val="20"/>
          <w:szCs w:val="20"/>
        </w:rPr>
        <w:t>Date of Report (Date of earliest event reported):</w:t>
      </w:r>
      <w:r>
        <w:rPr>
          <w:b/>
          <w:bCs/>
          <w:sz w:val="20"/>
          <w:szCs w:val="20"/>
        </w:rPr>
        <w:t xml:space="preserve"> </w:t>
      </w:r>
      <w:r>
        <w:rPr>
          <w:b/>
          <w:bCs/>
          <w:sz w:val="20"/>
          <w:szCs w:val="20"/>
        </w:rPr>
        <w:t>August 12, 202</w:t>
      </w:r>
      <w:r>
        <w:rPr>
          <w:b/>
          <w:bCs/>
          <w:sz w:val="20"/>
          <w:szCs w:val="20"/>
        </w:rPr>
        <w:t>2</w:t>
      </w:r>
    </w:p>
    <w:p w14:paraId="6C07D124" w14:textId="77777777" w:rsidR="00000000" w:rsidRDefault="004579E0">
      <w:pPr>
        <w:pStyle w:val="NormalWeb"/>
        <w:spacing w:before="0" w:beforeAutospacing="0" w:after="0" w:afterAutospacing="0"/>
        <w:jc w:val="center"/>
        <w:divId w:val="187643294"/>
        <w:rPr>
          <w:sz w:val="20"/>
          <w:szCs w:val="20"/>
        </w:rPr>
      </w:pPr>
      <w:r>
        <w:rPr>
          <w:b/>
          <w:bCs/>
          <w:sz w:val="20"/>
          <w:szCs w:val="20"/>
        </w:rPr>
        <w:t> </w:t>
      </w:r>
    </w:p>
    <w:p w14:paraId="02EF3656" w14:textId="77777777" w:rsidR="00000000" w:rsidRDefault="004579E0">
      <w:pPr>
        <w:divId w:val="200215925"/>
        <w:rPr>
          <w:rFonts w:eastAsia="Times New Roman"/>
          <w:sz w:val="2"/>
          <w:szCs w:val="2"/>
        </w:rPr>
      </w:pPr>
      <w:r>
        <w:rPr>
          <w:rFonts w:eastAsia="Times New Roman"/>
          <w:sz w:val="2"/>
          <w:szCs w:val="2"/>
        </w:rPr>
        <w:t> </w:t>
      </w:r>
    </w:p>
    <w:p w14:paraId="2E043638" w14:textId="77777777" w:rsidR="00000000" w:rsidRDefault="004579E0">
      <w:pPr>
        <w:pStyle w:val="NormalWeb"/>
        <w:spacing w:before="0" w:beforeAutospacing="0" w:after="0" w:afterAutospacing="0"/>
        <w:jc w:val="center"/>
        <w:divId w:val="187643294"/>
        <w:rPr>
          <w:sz w:val="20"/>
          <w:szCs w:val="20"/>
        </w:rPr>
      </w:pPr>
      <w:r>
        <w:rPr>
          <w:b/>
          <w:bCs/>
          <w:sz w:val="20"/>
          <w:szCs w:val="20"/>
        </w:rPr>
        <w:t> </w:t>
      </w:r>
    </w:p>
    <w:p w14:paraId="72A0C5EE" w14:textId="77777777" w:rsidR="00000000" w:rsidRDefault="004579E0">
      <w:pPr>
        <w:pStyle w:val="NormalWeb"/>
        <w:spacing w:before="0" w:beforeAutospacing="0" w:after="0" w:afterAutospacing="0"/>
        <w:jc w:val="center"/>
        <w:divId w:val="187643294"/>
        <w:rPr>
          <w:sz w:val="20"/>
          <w:szCs w:val="20"/>
        </w:rPr>
      </w:pPr>
      <w:r>
        <w:rPr>
          <w:b/>
          <w:bCs/>
          <w:sz w:val="36"/>
          <w:szCs w:val="36"/>
        </w:rPr>
        <w:t>Progressive Care Inc</w:t>
      </w:r>
      <w:r>
        <w:rPr>
          <w:b/>
          <w:bCs/>
          <w:sz w:val="36"/>
          <w:szCs w:val="36"/>
        </w:rPr>
        <w:t>.</w:t>
      </w:r>
    </w:p>
    <w:p w14:paraId="1CD62629" w14:textId="77777777" w:rsidR="00000000" w:rsidRDefault="004579E0">
      <w:pPr>
        <w:pStyle w:val="NormalWeb"/>
        <w:spacing w:before="0" w:beforeAutospacing="0" w:after="0" w:afterAutospacing="0"/>
        <w:jc w:val="center"/>
        <w:divId w:val="187643294"/>
        <w:rPr>
          <w:sz w:val="20"/>
          <w:szCs w:val="20"/>
        </w:rPr>
      </w:pPr>
      <w:r>
        <w:rPr>
          <w:sz w:val="20"/>
          <w:szCs w:val="20"/>
        </w:rPr>
        <w:t>(Exact name of registrant as specified in its charter)</w:t>
      </w:r>
    </w:p>
    <w:p w14:paraId="5E82BF8B" w14:textId="77777777" w:rsidR="00000000" w:rsidRDefault="004579E0">
      <w:pPr>
        <w:pStyle w:val="NormalWeb"/>
        <w:spacing w:before="0" w:beforeAutospacing="0" w:after="0" w:afterAutospacing="0"/>
        <w:jc w:val="center"/>
        <w:divId w:val="187643294"/>
        <w:rPr>
          <w:sz w:val="20"/>
          <w:szCs w:val="20"/>
        </w:rPr>
      </w:pPr>
      <w:r>
        <w:rPr>
          <w:sz w:val="20"/>
          <w:szCs w:val="20"/>
        </w:rPr>
        <w:t> </w:t>
      </w:r>
    </w:p>
    <w:p w14:paraId="58FB30BB" w14:textId="77777777" w:rsidR="00000000" w:rsidRDefault="004579E0">
      <w:pPr>
        <w:divId w:val="240987862"/>
        <w:rPr>
          <w:rFonts w:eastAsia="Times New Roman"/>
          <w:sz w:val="2"/>
          <w:szCs w:val="2"/>
        </w:rPr>
      </w:pPr>
      <w:r>
        <w:rPr>
          <w:rFonts w:eastAsia="Times New Roman"/>
          <w:sz w:val="2"/>
          <w:szCs w:val="2"/>
        </w:rPr>
        <w:t> </w:t>
      </w:r>
    </w:p>
    <w:p w14:paraId="37894BBA" w14:textId="77777777" w:rsidR="00000000" w:rsidRDefault="004579E0">
      <w:pPr>
        <w:pStyle w:val="NormalWeb"/>
        <w:spacing w:before="0" w:beforeAutospacing="0" w:after="0" w:afterAutospacing="0"/>
        <w:jc w:val="center"/>
        <w:divId w:val="187643294"/>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996"/>
        <w:gridCol w:w="187"/>
        <w:gridCol w:w="2995"/>
        <w:gridCol w:w="187"/>
        <w:gridCol w:w="2995"/>
      </w:tblGrid>
      <w:tr w:rsidR="00000000" w14:paraId="4916FE06" w14:textId="77777777">
        <w:trPr>
          <w:divId w:val="187643294"/>
          <w:tblCellSpacing w:w="0" w:type="dxa"/>
        </w:trPr>
        <w:tc>
          <w:tcPr>
            <w:tcW w:w="1600" w:type="pct"/>
            <w:hideMark/>
          </w:tcPr>
          <w:p w14:paraId="292AF796" w14:textId="77777777" w:rsidR="00000000" w:rsidRDefault="004579E0">
            <w:pPr>
              <w:jc w:val="center"/>
              <w:rPr>
                <w:rFonts w:eastAsia="Times New Roman"/>
                <w:sz w:val="20"/>
                <w:szCs w:val="20"/>
              </w:rPr>
            </w:pPr>
            <w:r>
              <w:rPr>
                <w:rFonts w:eastAsia="Times New Roman"/>
                <w:b/>
                <w:bCs/>
                <w:sz w:val="20"/>
                <w:szCs w:val="20"/>
              </w:rPr>
              <w:t>Delawar</w:t>
            </w:r>
            <w:r>
              <w:rPr>
                <w:rFonts w:eastAsia="Times New Roman"/>
                <w:b/>
                <w:bCs/>
                <w:sz w:val="20"/>
                <w:szCs w:val="20"/>
              </w:rPr>
              <w:t>e</w:t>
            </w:r>
          </w:p>
        </w:tc>
        <w:tc>
          <w:tcPr>
            <w:tcW w:w="100" w:type="pct"/>
            <w:hideMark/>
          </w:tcPr>
          <w:p w14:paraId="7069073C" w14:textId="77777777" w:rsidR="00000000" w:rsidRDefault="004579E0">
            <w:pPr>
              <w:rPr>
                <w:rFonts w:eastAsia="Times New Roman"/>
                <w:sz w:val="20"/>
                <w:szCs w:val="20"/>
              </w:rPr>
            </w:pPr>
            <w:r>
              <w:rPr>
                <w:rFonts w:eastAsia="Times New Roman"/>
                <w:sz w:val="20"/>
                <w:szCs w:val="20"/>
              </w:rPr>
              <w:t> </w:t>
            </w:r>
          </w:p>
        </w:tc>
        <w:tc>
          <w:tcPr>
            <w:tcW w:w="1600" w:type="pct"/>
            <w:hideMark/>
          </w:tcPr>
          <w:p w14:paraId="08478F86" w14:textId="77777777" w:rsidR="00000000" w:rsidRDefault="004579E0">
            <w:pPr>
              <w:jc w:val="center"/>
              <w:rPr>
                <w:rFonts w:eastAsia="Times New Roman"/>
                <w:sz w:val="20"/>
                <w:szCs w:val="20"/>
              </w:rPr>
            </w:pPr>
            <w:r>
              <w:rPr>
                <w:rFonts w:eastAsia="Times New Roman"/>
                <w:b/>
                <w:bCs/>
                <w:sz w:val="20"/>
                <w:szCs w:val="20"/>
              </w:rPr>
              <w:t>000-5268</w:t>
            </w:r>
            <w:r>
              <w:rPr>
                <w:rFonts w:eastAsia="Times New Roman"/>
                <w:b/>
                <w:bCs/>
                <w:sz w:val="20"/>
                <w:szCs w:val="20"/>
              </w:rPr>
              <w:t>4</w:t>
            </w:r>
          </w:p>
        </w:tc>
        <w:tc>
          <w:tcPr>
            <w:tcW w:w="100" w:type="pct"/>
            <w:hideMark/>
          </w:tcPr>
          <w:p w14:paraId="3C59AB92" w14:textId="77777777" w:rsidR="00000000" w:rsidRDefault="004579E0">
            <w:pPr>
              <w:rPr>
                <w:rFonts w:eastAsia="Times New Roman"/>
                <w:sz w:val="20"/>
                <w:szCs w:val="20"/>
              </w:rPr>
            </w:pPr>
            <w:r>
              <w:rPr>
                <w:rFonts w:eastAsia="Times New Roman"/>
                <w:sz w:val="20"/>
                <w:szCs w:val="20"/>
              </w:rPr>
              <w:t> </w:t>
            </w:r>
          </w:p>
        </w:tc>
        <w:tc>
          <w:tcPr>
            <w:tcW w:w="1600" w:type="pct"/>
            <w:hideMark/>
          </w:tcPr>
          <w:p w14:paraId="5717DA1A" w14:textId="77777777" w:rsidR="00000000" w:rsidRDefault="004579E0">
            <w:pPr>
              <w:jc w:val="center"/>
              <w:rPr>
                <w:rFonts w:eastAsia="Times New Roman"/>
                <w:sz w:val="20"/>
                <w:szCs w:val="20"/>
              </w:rPr>
            </w:pPr>
            <w:r>
              <w:rPr>
                <w:rFonts w:eastAsia="Times New Roman"/>
                <w:b/>
                <w:bCs/>
                <w:sz w:val="20"/>
                <w:szCs w:val="20"/>
              </w:rPr>
              <w:t>32-018600</w:t>
            </w:r>
            <w:r>
              <w:rPr>
                <w:rFonts w:eastAsia="Times New Roman"/>
                <w:b/>
                <w:bCs/>
                <w:sz w:val="20"/>
                <w:szCs w:val="20"/>
              </w:rPr>
              <w:t>5</w:t>
            </w:r>
          </w:p>
        </w:tc>
      </w:tr>
      <w:tr w:rsidR="00000000" w14:paraId="35D082A2" w14:textId="77777777">
        <w:trPr>
          <w:divId w:val="187643294"/>
          <w:tblCellSpacing w:w="0" w:type="dxa"/>
        </w:trPr>
        <w:tc>
          <w:tcPr>
            <w:tcW w:w="0" w:type="auto"/>
            <w:hideMark/>
          </w:tcPr>
          <w:p w14:paraId="121BF936" w14:textId="77777777" w:rsidR="00000000" w:rsidRDefault="004579E0">
            <w:pPr>
              <w:jc w:val="center"/>
              <w:rPr>
                <w:rFonts w:eastAsia="Times New Roman"/>
                <w:sz w:val="20"/>
                <w:szCs w:val="20"/>
              </w:rPr>
            </w:pPr>
            <w:r>
              <w:rPr>
                <w:rFonts w:eastAsia="Times New Roman"/>
                <w:sz w:val="20"/>
                <w:szCs w:val="20"/>
              </w:rPr>
              <w:t>(State or Other Jurisdiction</w:t>
            </w:r>
          </w:p>
        </w:tc>
        <w:tc>
          <w:tcPr>
            <w:tcW w:w="0" w:type="auto"/>
            <w:hideMark/>
          </w:tcPr>
          <w:p w14:paraId="5634359A" w14:textId="77777777" w:rsidR="00000000" w:rsidRDefault="004579E0">
            <w:pPr>
              <w:rPr>
                <w:rFonts w:eastAsia="Times New Roman"/>
                <w:sz w:val="20"/>
                <w:szCs w:val="20"/>
              </w:rPr>
            </w:pPr>
            <w:r>
              <w:rPr>
                <w:rFonts w:eastAsia="Times New Roman"/>
                <w:sz w:val="20"/>
                <w:szCs w:val="20"/>
              </w:rPr>
              <w:t> </w:t>
            </w:r>
          </w:p>
        </w:tc>
        <w:tc>
          <w:tcPr>
            <w:tcW w:w="0" w:type="auto"/>
            <w:hideMark/>
          </w:tcPr>
          <w:p w14:paraId="2BF93C7F" w14:textId="77777777" w:rsidR="00000000" w:rsidRDefault="004579E0">
            <w:pPr>
              <w:jc w:val="center"/>
              <w:rPr>
                <w:rFonts w:eastAsia="Times New Roman"/>
                <w:sz w:val="20"/>
                <w:szCs w:val="20"/>
              </w:rPr>
            </w:pPr>
            <w:r>
              <w:rPr>
                <w:rFonts w:eastAsia="Times New Roman"/>
                <w:sz w:val="20"/>
                <w:szCs w:val="20"/>
              </w:rPr>
              <w:t>(Commission</w:t>
            </w:r>
          </w:p>
        </w:tc>
        <w:tc>
          <w:tcPr>
            <w:tcW w:w="0" w:type="auto"/>
            <w:hideMark/>
          </w:tcPr>
          <w:p w14:paraId="1392AF07" w14:textId="77777777" w:rsidR="00000000" w:rsidRDefault="004579E0">
            <w:pPr>
              <w:rPr>
                <w:rFonts w:eastAsia="Times New Roman"/>
                <w:sz w:val="20"/>
                <w:szCs w:val="20"/>
              </w:rPr>
            </w:pPr>
            <w:r>
              <w:rPr>
                <w:rFonts w:eastAsia="Times New Roman"/>
                <w:sz w:val="20"/>
                <w:szCs w:val="20"/>
              </w:rPr>
              <w:t> </w:t>
            </w:r>
          </w:p>
        </w:tc>
        <w:tc>
          <w:tcPr>
            <w:tcW w:w="0" w:type="auto"/>
            <w:hideMark/>
          </w:tcPr>
          <w:p w14:paraId="7D515FAE" w14:textId="77777777" w:rsidR="00000000" w:rsidRDefault="004579E0">
            <w:pPr>
              <w:jc w:val="center"/>
              <w:rPr>
                <w:rFonts w:eastAsia="Times New Roman"/>
                <w:sz w:val="20"/>
                <w:szCs w:val="20"/>
              </w:rPr>
            </w:pPr>
            <w:r>
              <w:rPr>
                <w:rFonts w:eastAsia="Times New Roman"/>
                <w:sz w:val="20"/>
                <w:szCs w:val="20"/>
              </w:rPr>
              <w:t>(I.R.S. Employer</w:t>
            </w:r>
          </w:p>
        </w:tc>
      </w:tr>
      <w:tr w:rsidR="00000000" w14:paraId="5F79F2BA" w14:textId="77777777">
        <w:trPr>
          <w:divId w:val="187643294"/>
          <w:tblCellSpacing w:w="0" w:type="dxa"/>
        </w:trPr>
        <w:tc>
          <w:tcPr>
            <w:tcW w:w="0" w:type="auto"/>
            <w:hideMark/>
          </w:tcPr>
          <w:p w14:paraId="1B305466" w14:textId="77777777" w:rsidR="00000000" w:rsidRDefault="004579E0">
            <w:pPr>
              <w:jc w:val="center"/>
              <w:rPr>
                <w:rFonts w:eastAsia="Times New Roman"/>
                <w:sz w:val="20"/>
                <w:szCs w:val="20"/>
              </w:rPr>
            </w:pPr>
            <w:r>
              <w:rPr>
                <w:rFonts w:eastAsia="Times New Roman"/>
                <w:sz w:val="20"/>
                <w:szCs w:val="20"/>
              </w:rPr>
              <w:t>of Incorporation)</w:t>
            </w:r>
          </w:p>
        </w:tc>
        <w:tc>
          <w:tcPr>
            <w:tcW w:w="0" w:type="auto"/>
            <w:hideMark/>
          </w:tcPr>
          <w:p w14:paraId="282294D6" w14:textId="77777777" w:rsidR="00000000" w:rsidRDefault="004579E0">
            <w:pPr>
              <w:rPr>
                <w:rFonts w:eastAsia="Times New Roman"/>
                <w:sz w:val="20"/>
                <w:szCs w:val="20"/>
              </w:rPr>
            </w:pPr>
            <w:r>
              <w:rPr>
                <w:rFonts w:eastAsia="Times New Roman"/>
                <w:sz w:val="20"/>
                <w:szCs w:val="20"/>
              </w:rPr>
              <w:t> </w:t>
            </w:r>
          </w:p>
        </w:tc>
        <w:tc>
          <w:tcPr>
            <w:tcW w:w="0" w:type="auto"/>
            <w:hideMark/>
          </w:tcPr>
          <w:p w14:paraId="51B4B008" w14:textId="77777777" w:rsidR="00000000" w:rsidRDefault="004579E0">
            <w:pPr>
              <w:jc w:val="center"/>
              <w:rPr>
                <w:rFonts w:eastAsia="Times New Roman"/>
                <w:sz w:val="20"/>
                <w:szCs w:val="20"/>
              </w:rPr>
            </w:pPr>
            <w:r>
              <w:rPr>
                <w:rFonts w:eastAsia="Times New Roman"/>
                <w:sz w:val="20"/>
                <w:szCs w:val="20"/>
              </w:rPr>
              <w:t>File Number)</w:t>
            </w:r>
          </w:p>
        </w:tc>
        <w:tc>
          <w:tcPr>
            <w:tcW w:w="0" w:type="auto"/>
            <w:hideMark/>
          </w:tcPr>
          <w:p w14:paraId="1BD1F807" w14:textId="77777777" w:rsidR="00000000" w:rsidRDefault="004579E0">
            <w:pPr>
              <w:rPr>
                <w:rFonts w:eastAsia="Times New Roman"/>
                <w:sz w:val="20"/>
                <w:szCs w:val="20"/>
              </w:rPr>
            </w:pPr>
            <w:r>
              <w:rPr>
                <w:rFonts w:eastAsia="Times New Roman"/>
                <w:sz w:val="20"/>
                <w:szCs w:val="20"/>
              </w:rPr>
              <w:t> </w:t>
            </w:r>
          </w:p>
        </w:tc>
        <w:tc>
          <w:tcPr>
            <w:tcW w:w="0" w:type="auto"/>
            <w:hideMark/>
          </w:tcPr>
          <w:p w14:paraId="6124E534" w14:textId="77777777" w:rsidR="00000000" w:rsidRDefault="004579E0">
            <w:pPr>
              <w:jc w:val="center"/>
              <w:rPr>
                <w:rFonts w:eastAsia="Times New Roman"/>
                <w:sz w:val="20"/>
                <w:szCs w:val="20"/>
              </w:rPr>
            </w:pPr>
            <w:r>
              <w:rPr>
                <w:rFonts w:eastAsia="Times New Roman"/>
                <w:sz w:val="20"/>
                <w:szCs w:val="20"/>
              </w:rPr>
              <w:t>Identification No.)</w:t>
            </w:r>
          </w:p>
        </w:tc>
      </w:tr>
    </w:tbl>
    <w:p w14:paraId="6461A68E" w14:textId="77777777" w:rsidR="00000000" w:rsidRDefault="004579E0">
      <w:pPr>
        <w:pStyle w:val="NormalWeb"/>
        <w:spacing w:before="0" w:beforeAutospacing="0" w:after="0" w:afterAutospacing="0"/>
        <w:jc w:val="center"/>
        <w:divId w:val="187643294"/>
        <w:rPr>
          <w:sz w:val="20"/>
          <w:szCs w:val="20"/>
        </w:rPr>
      </w:pPr>
      <w:r>
        <w:rPr>
          <w:b/>
          <w:bCs/>
          <w:sz w:val="20"/>
          <w:szCs w:val="20"/>
        </w:rPr>
        <w:t> </w:t>
      </w:r>
    </w:p>
    <w:p w14:paraId="113F7F63" w14:textId="77777777" w:rsidR="00000000" w:rsidRDefault="004579E0">
      <w:pPr>
        <w:pStyle w:val="NormalWeb"/>
        <w:spacing w:before="0" w:beforeAutospacing="0" w:after="0" w:afterAutospacing="0"/>
        <w:jc w:val="center"/>
        <w:divId w:val="187643294"/>
        <w:rPr>
          <w:sz w:val="20"/>
          <w:szCs w:val="20"/>
        </w:rPr>
      </w:pPr>
      <w:r>
        <w:rPr>
          <w:b/>
          <w:bCs/>
          <w:sz w:val="20"/>
          <w:szCs w:val="20"/>
        </w:rPr>
        <w:t>400 Ansin Blvd</w:t>
      </w:r>
      <w:r>
        <w:rPr>
          <w:b/>
          <w:bCs/>
          <w:sz w:val="20"/>
          <w:szCs w:val="20"/>
        </w:rPr>
        <w:t>.</w:t>
      </w:r>
      <w:r>
        <w:rPr>
          <w:b/>
          <w:bCs/>
          <w:sz w:val="20"/>
          <w:szCs w:val="20"/>
        </w:rPr>
        <w:t>,</w:t>
      </w:r>
      <w:r>
        <w:rPr>
          <w:b/>
          <w:bCs/>
          <w:sz w:val="20"/>
          <w:szCs w:val="20"/>
        </w:rPr>
        <w:t xml:space="preserve"> </w:t>
      </w:r>
      <w:r>
        <w:rPr>
          <w:b/>
          <w:bCs/>
          <w:sz w:val="20"/>
          <w:szCs w:val="20"/>
        </w:rPr>
        <w:t xml:space="preserve">Suite </w:t>
      </w:r>
      <w:r>
        <w:rPr>
          <w:b/>
          <w:bCs/>
          <w:sz w:val="20"/>
          <w:szCs w:val="20"/>
        </w:rPr>
        <w:t>A</w:t>
      </w:r>
    </w:p>
    <w:p w14:paraId="4C06BEB9" w14:textId="77777777" w:rsidR="00000000" w:rsidRDefault="004579E0">
      <w:pPr>
        <w:pStyle w:val="NormalWeb"/>
        <w:spacing w:before="0" w:beforeAutospacing="0" w:after="0" w:afterAutospacing="0"/>
        <w:jc w:val="center"/>
        <w:divId w:val="187643294"/>
        <w:rPr>
          <w:sz w:val="20"/>
          <w:szCs w:val="20"/>
        </w:rPr>
      </w:pPr>
      <w:r>
        <w:rPr>
          <w:b/>
          <w:bCs/>
          <w:sz w:val="20"/>
          <w:szCs w:val="20"/>
        </w:rPr>
        <w:t>Hallandale Beac</w:t>
      </w:r>
      <w:r>
        <w:rPr>
          <w:b/>
          <w:bCs/>
          <w:sz w:val="20"/>
          <w:szCs w:val="20"/>
        </w:rPr>
        <w:t>h</w:t>
      </w:r>
      <w:r>
        <w:rPr>
          <w:b/>
          <w:bCs/>
          <w:sz w:val="20"/>
          <w:szCs w:val="20"/>
        </w:rPr>
        <w:t>,</w:t>
      </w:r>
      <w:r>
        <w:rPr>
          <w:b/>
          <w:bCs/>
          <w:sz w:val="20"/>
          <w:szCs w:val="20"/>
        </w:rPr>
        <w:t xml:space="preserve"> </w:t>
      </w:r>
      <w:r>
        <w:rPr>
          <w:b/>
          <w:bCs/>
          <w:sz w:val="20"/>
          <w:szCs w:val="20"/>
        </w:rPr>
        <w:t>F</w:t>
      </w:r>
      <w:r>
        <w:rPr>
          <w:b/>
          <w:bCs/>
          <w:sz w:val="20"/>
          <w:szCs w:val="20"/>
        </w:rPr>
        <w:t>L</w:t>
      </w:r>
      <w:r>
        <w:rPr>
          <w:b/>
          <w:bCs/>
          <w:sz w:val="20"/>
          <w:szCs w:val="20"/>
        </w:rPr>
        <w:t xml:space="preserve"> </w:t>
      </w:r>
      <w:r>
        <w:rPr>
          <w:b/>
          <w:bCs/>
          <w:sz w:val="20"/>
          <w:szCs w:val="20"/>
        </w:rPr>
        <w:t>3300</w:t>
      </w:r>
      <w:r>
        <w:rPr>
          <w:b/>
          <w:bCs/>
          <w:sz w:val="20"/>
          <w:szCs w:val="20"/>
        </w:rPr>
        <w:t>9</w:t>
      </w:r>
    </w:p>
    <w:p w14:paraId="39CF9D2B" w14:textId="77777777" w:rsidR="00000000" w:rsidRDefault="004579E0">
      <w:pPr>
        <w:pStyle w:val="NormalWeb"/>
        <w:spacing w:before="0" w:beforeAutospacing="0" w:after="0" w:afterAutospacing="0"/>
        <w:jc w:val="center"/>
        <w:divId w:val="187643294"/>
        <w:rPr>
          <w:sz w:val="20"/>
          <w:szCs w:val="20"/>
        </w:rPr>
      </w:pPr>
      <w:r>
        <w:rPr>
          <w:sz w:val="20"/>
          <w:szCs w:val="20"/>
        </w:rPr>
        <w:t xml:space="preserve">(Address </w:t>
      </w:r>
      <w:r>
        <w:rPr>
          <w:sz w:val="20"/>
          <w:szCs w:val="20"/>
        </w:rPr>
        <w:t>of Principal Executive Offices) (Zip Code)</w:t>
      </w:r>
    </w:p>
    <w:p w14:paraId="6CCD4BEA" w14:textId="77777777" w:rsidR="00000000" w:rsidRDefault="004579E0">
      <w:pPr>
        <w:pStyle w:val="NormalWeb"/>
        <w:spacing w:before="0" w:beforeAutospacing="0" w:after="0" w:afterAutospacing="0"/>
        <w:jc w:val="center"/>
        <w:divId w:val="187643294"/>
        <w:rPr>
          <w:sz w:val="20"/>
          <w:szCs w:val="20"/>
        </w:rPr>
      </w:pPr>
      <w:r>
        <w:rPr>
          <w:sz w:val="20"/>
          <w:szCs w:val="20"/>
        </w:rPr>
        <w:t> </w:t>
      </w:r>
    </w:p>
    <w:p w14:paraId="1AE65349" w14:textId="77777777" w:rsidR="00000000" w:rsidRDefault="004579E0">
      <w:pPr>
        <w:pStyle w:val="NormalWeb"/>
        <w:spacing w:before="0" w:beforeAutospacing="0" w:after="0" w:afterAutospacing="0"/>
        <w:jc w:val="center"/>
        <w:divId w:val="187643294"/>
        <w:rPr>
          <w:sz w:val="20"/>
          <w:szCs w:val="20"/>
        </w:rPr>
      </w:pPr>
      <w:r>
        <w:rPr>
          <w:b/>
          <w:bCs/>
          <w:sz w:val="20"/>
          <w:szCs w:val="20"/>
        </w:rPr>
        <w:t>(305</w:t>
      </w:r>
      <w:r>
        <w:rPr>
          <w:b/>
          <w:bCs/>
          <w:sz w:val="20"/>
          <w:szCs w:val="20"/>
        </w:rPr>
        <w:t>)</w:t>
      </w:r>
      <w:r>
        <w:rPr>
          <w:b/>
          <w:bCs/>
          <w:sz w:val="20"/>
          <w:szCs w:val="20"/>
        </w:rPr>
        <w:t xml:space="preserve"> </w:t>
      </w:r>
      <w:r>
        <w:rPr>
          <w:b/>
          <w:bCs/>
          <w:sz w:val="20"/>
          <w:szCs w:val="20"/>
        </w:rPr>
        <w:t>760-205</w:t>
      </w:r>
      <w:r>
        <w:rPr>
          <w:b/>
          <w:bCs/>
          <w:sz w:val="20"/>
          <w:szCs w:val="20"/>
        </w:rPr>
        <w:t>3</w:t>
      </w:r>
    </w:p>
    <w:p w14:paraId="1115D3FD" w14:textId="77777777" w:rsidR="00000000" w:rsidRDefault="004579E0">
      <w:pPr>
        <w:pStyle w:val="NormalWeb"/>
        <w:spacing w:before="0" w:beforeAutospacing="0" w:after="0" w:afterAutospacing="0"/>
        <w:jc w:val="center"/>
        <w:divId w:val="187643294"/>
        <w:rPr>
          <w:sz w:val="20"/>
          <w:szCs w:val="20"/>
        </w:rPr>
      </w:pPr>
      <w:r>
        <w:rPr>
          <w:sz w:val="20"/>
          <w:szCs w:val="20"/>
        </w:rPr>
        <w:t>(Registrant’s telephone number, including area code)</w:t>
      </w:r>
    </w:p>
    <w:p w14:paraId="0D725ACB" w14:textId="77777777" w:rsidR="00000000" w:rsidRDefault="004579E0">
      <w:pPr>
        <w:pStyle w:val="NormalWeb"/>
        <w:spacing w:before="0" w:beforeAutospacing="0" w:after="0" w:afterAutospacing="0"/>
        <w:jc w:val="center"/>
        <w:divId w:val="187643294"/>
        <w:rPr>
          <w:sz w:val="20"/>
          <w:szCs w:val="20"/>
        </w:rPr>
      </w:pPr>
      <w:r>
        <w:rPr>
          <w:sz w:val="20"/>
          <w:szCs w:val="20"/>
        </w:rPr>
        <w:t> </w:t>
      </w:r>
    </w:p>
    <w:p w14:paraId="7711D4F7" w14:textId="77777777" w:rsidR="00000000" w:rsidRDefault="004579E0">
      <w:pPr>
        <w:pStyle w:val="NormalWeb"/>
        <w:spacing w:before="0" w:beforeAutospacing="0" w:after="0" w:afterAutospacing="0"/>
        <w:jc w:val="center"/>
        <w:divId w:val="187643294"/>
        <w:rPr>
          <w:sz w:val="20"/>
          <w:szCs w:val="20"/>
        </w:rPr>
      </w:pPr>
      <w:r>
        <w:rPr>
          <w:b/>
          <w:bCs/>
          <w:sz w:val="20"/>
          <w:szCs w:val="20"/>
        </w:rPr>
        <w:t>N/A</w:t>
      </w:r>
    </w:p>
    <w:p w14:paraId="022402EB" w14:textId="77777777" w:rsidR="00000000" w:rsidRDefault="004579E0">
      <w:pPr>
        <w:pStyle w:val="NormalWeb"/>
        <w:spacing w:before="0" w:beforeAutospacing="0" w:after="0" w:afterAutospacing="0"/>
        <w:jc w:val="center"/>
        <w:divId w:val="187643294"/>
        <w:rPr>
          <w:sz w:val="20"/>
          <w:szCs w:val="20"/>
        </w:rPr>
      </w:pPr>
      <w:r>
        <w:rPr>
          <w:sz w:val="20"/>
          <w:szCs w:val="20"/>
        </w:rPr>
        <w:t>(Former name or former address, if changed since last report)</w:t>
      </w:r>
    </w:p>
    <w:p w14:paraId="3A909629" w14:textId="77777777" w:rsidR="00000000" w:rsidRDefault="004579E0">
      <w:pPr>
        <w:pStyle w:val="NormalWeb"/>
        <w:spacing w:before="0" w:beforeAutospacing="0" w:after="0" w:afterAutospacing="0"/>
        <w:jc w:val="center"/>
        <w:divId w:val="187643294"/>
        <w:rPr>
          <w:sz w:val="20"/>
          <w:szCs w:val="20"/>
        </w:rPr>
      </w:pPr>
      <w:r>
        <w:rPr>
          <w:sz w:val="20"/>
          <w:szCs w:val="20"/>
        </w:rPr>
        <w:t> </w:t>
      </w:r>
    </w:p>
    <w:p w14:paraId="57DD83DA" w14:textId="77777777" w:rsidR="00000000" w:rsidRDefault="004579E0">
      <w:pPr>
        <w:pStyle w:val="NormalWeb"/>
        <w:spacing w:before="0" w:beforeAutospacing="0" w:after="0" w:afterAutospacing="0"/>
        <w:jc w:val="both"/>
        <w:divId w:val="187643294"/>
        <w:rPr>
          <w:sz w:val="20"/>
          <w:szCs w:val="20"/>
        </w:rPr>
      </w:pPr>
      <w:r>
        <w:rPr>
          <w:sz w:val="20"/>
          <w:szCs w:val="20"/>
        </w:rPr>
        <w:t>Check the appropriate box below if the Form 8-K filing is intended to sim</w:t>
      </w:r>
      <w:r>
        <w:rPr>
          <w:sz w:val="20"/>
          <w:szCs w:val="20"/>
        </w:rPr>
        <w:t>ultaneously satisfy the filing obligation of the registrant under any of the following provisions:</w:t>
      </w:r>
    </w:p>
    <w:p w14:paraId="681834AF" w14:textId="77777777" w:rsidR="00000000" w:rsidRDefault="004579E0">
      <w:pPr>
        <w:pStyle w:val="NormalWeb"/>
        <w:spacing w:before="0" w:beforeAutospacing="0" w:after="0" w:afterAutospacing="0"/>
        <w:jc w:val="center"/>
        <w:divId w:val="18764329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60"/>
        <w:gridCol w:w="9000"/>
      </w:tblGrid>
      <w:tr w:rsidR="00000000" w14:paraId="790AE27C" w14:textId="77777777">
        <w:trPr>
          <w:divId w:val="187643294"/>
        </w:trPr>
        <w:tc>
          <w:tcPr>
            <w:tcW w:w="360" w:type="dxa"/>
            <w:hideMark/>
          </w:tcPr>
          <w:p w14:paraId="03AA0C66" w14:textId="77777777" w:rsidR="00000000" w:rsidRDefault="004579E0">
            <w:pPr>
              <w:rPr>
                <w:rFonts w:eastAsia="Times New Roman"/>
                <w:sz w:val="20"/>
                <w:szCs w:val="20"/>
              </w:rPr>
            </w:pPr>
            <w:r>
              <w:rPr>
                <w:rFonts w:ascii="Segoe UI Symbol" w:eastAsia="Times New Roman" w:hAnsi="Segoe UI Symbol" w:cs="Segoe UI Symbol"/>
                <w:sz w:val="20"/>
                <w:szCs w:val="20"/>
              </w:rPr>
              <w:t>☐</w:t>
            </w:r>
          </w:p>
        </w:tc>
        <w:tc>
          <w:tcPr>
            <w:tcW w:w="0" w:type="auto"/>
            <w:hideMark/>
          </w:tcPr>
          <w:p w14:paraId="2DAA4AF8" w14:textId="77777777" w:rsidR="00000000" w:rsidRDefault="004579E0">
            <w:pPr>
              <w:jc w:val="both"/>
              <w:rPr>
                <w:rFonts w:eastAsia="Times New Roman"/>
                <w:sz w:val="20"/>
                <w:szCs w:val="20"/>
              </w:rPr>
            </w:pPr>
            <w:r>
              <w:rPr>
                <w:rFonts w:eastAsia="Times New Roman"/>
                <w:sz w:val="20"/>
                <w:szCs w:val="20"/>
              </w:rPr>
              <w:t>Written communications pursuant to Rule 425 under the Securities Act (17 CFR 230.425)</w:t>
            </w:r>
          </w:p>
        </w:tc>
      </w:tr>
    </w:tbl>
    <w:p w14:paraId="319F9972" w14:textId="77777777" w:rsidR="00000000" w:rsidRDefault="004579E0">
      <w:pPr>
        <w:pStyle w:val="NormalWeb"/>
        <w:spacing w:before="0" w:beforeAutospacing="0" w:after="0" w:afterAutospacing="0"/>
        <w:divId w:val="18764329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60"/>
        <w:gridCol w:w="9000"/>
      </w:tblGrid>
      <w:tr w:rsidR="00000000" w14:paraId="41367CD8" w14:textId="77777777">
        <w:trPr>
          <w:divId w:val="187643294"/>
        </w:trPr>
        <w:tc>
          <w:tcPr>
            <w:tcW w:w="360" w:type="dxa"/>
            <w:hideMark/>
          </w:tcPr>
          <w:p w14:paraId="52CE818E" w14:textId="77777777" w:rsidR="00000000" w:rsidRDefault="004579E0">
            <w:pPr>
              <w:rPr>
                <w:rFonts w:eastAsia="Times New Roman"/>
                <w:sz w:val="20"/>
                <w:szCs w:val="20"/>
              </w:rPr>
            </w:pPr>
            <w:r>
              <w:rPr>
                <w:rFonts w:ascii="Segoe UI Symbol" w:eastAsia="Times New Roman" w:hAnsi="Segoe UI Symbol" w:cs="Segoe UI Symbol"/>
                <w:sz w:val="20"/>
                <w:szCs w:val="20"/>
              </w:rPr>
              <w:t>☐</w:t>
            </w:r>
          </w:p>
        </w:tc>
        <w:tc>
          <w:tcPr>
            <w:tcW w:w="0" w:type="auto"/>
            <w:hideMark/>
          </w:tcPr>
          <w:p w14:paraId="574D07F1" w14:textId="77777777" w:rsidR="00000000" w:rsidRDefault="004579E0">
            <w:pPr>
              <w:jc w:val="both"/>
              <w:rPr>
                <w:rFonts w:eastAsia="Times New Roman"/>
                <w:sz w:val="20"/>
                <w:szCs w:val="20"/>
              </w:rPr>
            </w:pPr>
            <w:r>
              <w:rPr>
                <w:rFonts w:eastAsia="Times New Roman"/>
                <w:sz w:val="20"/>
                <w:szCs w:val="20"/>
              </w:rPr>
              <w:t>Soliciting material pursuant to Rule 14a-12 under the Exchange</w:t>
            </w:r>
            <w:r>
              <w:rPr>
                <w:rFonts w:eastAsia="Times New Roman"/>
                <w:sz w:val="20"/>
                <w:szCs w:val="20"/>
              </w:rPr>
              <w:t xml:space="preserve"> Act (17 CFR 240.14a-12)</w:t>
            </w:r>
          </w:p>
        </w:tc>
      </w:tr>
    </w:tbl>
    <w:p w14:paraId="62605191" w14:textId="77777777" w:rsidR="00000000" w:rsidRDefault="004579E0">
      <w:pPr>
        <w:pStyle w:val="NormalWeb"/>
        <w:spacing w:before="0" w:beforeAutospacing="0" w:after="0" w:afterAutospacing="0"/>
        <w:divId w:val="18764329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60"/>
        <w:gridCol w:w="9000"/>
      </w:tblGrid>
      <w:tr w:rsidR="00000000" w14:paraId="404CBD08" w14:textId="77777777">
        <w:trPr>
          <w:divId w:val="187643294"/>
        </w:trPr>
        <w:tc>
          <w:tcPr>
            <w:tcW w:w="360" w:type="dxa"/>
            <w:hideMark/>
          </w:tcPr>
          <w:p w14:paraId="2426257B" w14:textId="77777777" w:rsidR="00000000" w:rsidRDefault="004579E0">
            <w:pPr>
              <w:rPr>
                <w:rFonts w:eastAsia="Times New Roman"/>
                <w:sz w:val="20"/>
                <w:szCs w:val="20"/>
              </w:rPr>
            </w:pPr>
            <w:r>
              <w:rPr>
                <w:rFonts w:ascii="Segoe UI Symbol" w:eastAsia="Times New Roman" w:hAnsi="Segoe UI Symbol" w:cs="Segoe UI Symbol"/>
                <w:sz w:val="20"/>
                <w:szCs w:val="20"/>
              </w:rPr>
              <w:t>☐</w:t>
            </w:r>
          </w:p>
        </w:tc>
        <w:tc>
          <w:tcPr>
            <w:tcW w:w="0" w:type="auto"/>
            <w:hideMark/>
          </w:tcPr>
          <w:p w14:paraId="6678B88C" w14:textId="77777777" w:rsidR="00000000" w:rsidRDefault="004579E0">
            <w:pPr>
              <w:jc w:val="both"/>
              <w:rPr>
                <w:rFonts w:eastAsia="Times New Roman"/>
                <w:sz w:val="20"/>
                <w:szCs w:val="20"/>
              </w:rPr>
            </w:pPr>
            <w:r>
              <w:rPr>
                <w:rFonts w:eastAsia="Times New Roman"/>
                <w:sz w:val="20"/>
                <w:szCs w:val="20"/>
              </w:rPr>
              <w:t>Pre-commencement communications pursuant to Rule 14d-2(b) under the Exchange Act (17 CFR 240.14d-2(b))</w:t>
            </w:r>
          </w:p>
        </w:tc>
      </w:tr>
    </w:tbl>
    <w:p w14:paraId="5AFCC481" w14:textId="77777777" w:rsidR="00000000" w:rsidRDefault="004579E0">
      <w:pPr>
        <w:pStyle w:val="NormalWeb"/>
        <w:spacing w:before="0" w:beforeAutospacing="0" w:after="0" w:afterAutospacing="0"/>
        <w:divId w:val="18764329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60"/>
        <w:gridCol w:w="9000"/>
      </w:tblGrid>
      <w:tr w:rsidR="00000000" w14:paraId="5540B846" w14:textId="77777777">
        <w:trPr>
          <w:divId w:val="187643294"/>
        </w:trPr>
        <w:tc>
          <w:tcPr>
            <w:tcW w:w="360" w:type="dxa"/>
            <w:hideMark/>
          </w:tcPr>
          <w:p w14:paraId="2E0B7895" w14:textId="77777777" w:rsidR="00000000" w:rsidRDefault="004579E0">
            <w:pPr>
              <w:rPr>
                <w:rFonts w:eastAsia="Times New Roman"/>
                <w:sz w:val="20"/>
                <w:szCs w:val="20"/>
              </w:rPr>
            </w:pPr>
            <w:r>
              <w:rPr>
                <w:rFonts w:ascii="Segoe UI Symbol" w:eastAsia="Times New Roman" w:hAnsi="Segoe UI Symbol" w:cs="Segoe UI Symbol"/>
                <w:sz w:val="20"/>
                <w:szCs w:val="20"/>
              </w:rPr>
              <w:t>☐</w:t>
            </w:r>
          </w:p>
        </w:tc>
        <w:tc>
          <w:tcPr>
            <w:tcW w:w="0" w:type="auto"/>
            <w:hideMark/>
          </w:tcPr>
          <w:p w14:paraId="091DBF4E" w14:textId="77777777" w:rsidR="00000000" w:rsidRDefault="004579E0">
            <w:pPr>
              <w:jc w:val="both"/>
              <w:rPr>
                <w:rFonts w:eastAsia="Times New Roman"/>
                <w:sz w:val="20"/>
                <w:szCs w:val="20"/>
              </w:rPr>
            </w:pPr>
            <w:r>
              <w:rPr>
                <w:rFonts w:eastAsia="Times New Roman"/>
                <w:sz w:val="20"/>
                <w:szCs w:val="20"/>
              </w:rPr>
              <w:t xml:space="preserve">Pre-commencement </w:t>
            </w:r>
            <w:r>
              <w:rPr>
                <w:rFonts w:eastAsia="Times New Roman"/>
                <w:sz w:val="20"/>
                <w:szCs w:val="20"/>
              </w:rPr>
              <w:t>communications pursuant to Rule 13e-4(c) under the Exchange Act (17 CFR 240.13e-4(c))</w:t>
            </w:r>
          </w:p>
        </w:tc>
      </w:tr>
    </w:tbl>
    <w:p w14:paraId="2EEA4453" w14:textId="77777777" w:rsidR="00000000" w:rsidRDefault="004579E0">
      <w:pPr>
        <w:pStyle w:val="NormalWeb"/>
        <w:spacing w:before="0" w:beforeAutospacing="0" w:after="0" w:afterAutospacing="0"/>
        <w:jc w:val="center"/>
        <w:divId w:val="187643294"/>
        <w:rPr>
          <w:sz w:val="20"/>
          <w:szCs w:val="20"/>
        </w:rPr>
      </w:pPr>
      <w:r>
        <w:rPr>
          <w:sz w:val="20"/>
          <w:szCs w:val="20"/>
        </w:rPr>
        <w:t> </w:t>
      </w:r>
    </w:p>
    <w:p w14:paraId="6C4BF765" w14:textId="77777777" w:rsidR="00000000" w:rsidRDefault="004579E0">
      <w:pPr>
        <w:pStyle w:val="NormalWeb"/>
        <w:spacing w:before="0" w:beforeAutospacing="0" w:after="0" w:afterAutospacing="0"/>
        <w:jc w:val="both"/>
        <w:divId w:val="187643294"/>
        <w:rPr>
          <w:sz w:val="20"/>
          <w:szCs w:val="20"/>
        </w:rPr>
      </w:pPr>
      <w:r>
        <w:rPr>
          <w:sz w:val="20"/>
          <w:szCs w:val="20"/>
        </w:rPr>
        <w:t>Securities registered pursuant to Section 12(b) of the Act: None</w:t>
      </w:r>
    </w:p>
    <w:p w14:paraId="395ED654" w14:textId="77777777" w:rsidR="00000000" w:rsidRDefault="004579E0">
      <w:pPr>
        <w:pStyle w:val="NormalWeb"/>
        <w:spacing w:before="0" w:beforeAutospacing="0" w:after="0" w:afterAutospacing="0"/>
        <w:jc w:val="center"/>
        <w:divId w:val="187643294"/>
        <w:rPr>
          <w:sz w:val="20"/>
          <w:szCs w:val="20"/>
        </w:rPr>
      </w:pPr>
      <w:r>
        <w:rPr>
          <w:sz w:val="20"/>
          <w:szCs w:val="20"/>
        </w:rPr>
        <w:t> </w:t>
      </w:r>
    </w:p>
    <w:p w14:paraId="06511914" w14:textId="77777777" w:rsidR="00000000" w:rsidRDefault="004579E0">
      <w:pPr>
        <w:divId w:val="308168979"/>
        <w:rPr>
          <w:rFonts w:eastAsia="Times New Roman"/>
          <w:sz w:val="2"/>
          <w:szCs w:val="2"/>
        </w:rPr>
      </w:pPr>
      <w:r>
        <w:rPr>
          <w:rFonts w:eastAsia="Times New Roman"/>
          <w:sz w:val="2"/>
          <w:szCs w:val="2"/>
        </w:rPr>
        <w:t> </w:t>
      </w:r>
    </w:p>
    <w:p w14:paraId="703BCF75" w14:textId="77777777" w:rsidR="00000000" w:rsidRDefault="004579E0">
      <w:pPr>
        <w:pStyle w:val="NormalWeb"/>
        <w:spacing w:before="0" w:beforeAutospacing="0" w:after="0" w:afterAutospacing="0"/>
        <w:jc w:val="both"/>
        <w:divId w:val="18764329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000000" w14:paraId="325241DE" w14:textId="77777777">
        <w:trPr>
          <w:divId w:val="1609971570"/>
        </w:trPr>
        <w:tc>
          <w:tcPr>
            <w:tcW w:w="5000" w:type="pct"/>
            <w:hideMark/>
          </w:tcPr>
          <w:p w14:paraId="4192A860" w14:textId="77777777" w:rsidR="00000000" w:rsidRDefault="004579E0">
            <w:pPr>
              <w:rPr>
                <w:rFonts w:eastAsia="Times New Roman"/>
                <w:sz w:val="20"/>
                <w:szCs w:val="20"/>
              </w:rPr>
            </w:pPr>
            <w:r>
              <w:rPr>
                <w:rFonts w:eastAsia="Times New Roman"/>
                <w:sz w:val="20"/>
                <w:szCs w:val="20"/>
              </w:rPr>
              <w:lastRenderedPageBreak/>
              <w:t> </w:t>
            </w:r>
          </w:p>
        </w:tc>
      </w:tr>
    </w:tbl>
    <w:p w14:paraId="18B5B712" w14:textId="77777777" w:rsidR="00000000" w:rsidRDefault="004579E0">
      <w:pPr>
        <w:pStyle w:val="NormalWeb"/>
        <w:spacing w:before="0" w:beforeAutospacing="0" w:after="0" w:afterAutospacing="0"/>
        <w:divId w:val="620723957"/>
        <w:rPr>
          <w:sz w:val="20"/>
          <w:szCs w:val="20"/>
        </w:rPr>
      </w:pPr>
      <w:r>
        <w:rPr>
          <w:sz w:val="20"/>
          <w:szCs w:val="20"/>
        </w:rPr>
        <w:t> </w:t>
      </w:r>
    </w:p>
    <w:p w14:paraId="0E3CE3B7" w14:textId="77777777" w:rsidR="00000000" w:rsidRDefault="004579E0">
      <w:pPr>
        <w:pStyle w:val="NormalWeb"/>
        <w:spacing w:before="0" w:beforeAutospacing="0" w:after="0" w:afterAutospacing="0"/>
        <w:divId w:val="18764329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1080"/>
        <w:gridCol w:w="8280"/>
      </w:tblGrid>
      <w:tr w:rsidR="00000000" w14:paraId="4A3007FA" w14:textId="77777777">
        <w:trPr>
          <w:divId w:val="187643294"/>
        </w:trPr>
        <w:tc>
          <w:tcPr>
            <w:tcW w:w="1080" w:type="dxa"/>
            <w:hideMark/>
          </w:tcPr>
          <w:p w14:paraId="50F8A378" w14:textId="77777777" w:rsidR="00000000" w:rsidRDefault="004579E0">
            <w:pPr>
              <w:rPr>
                <w:rFonts w:eastAsia="Times New Roman"/>
                <w:sz w:val="20"/>
                <w:szCs w:val="20"/>
              </w:rPr>
            </w:pPr>
            <w:r>
              <w:rPr>
                <w:rFonts w:eastAsia="Times New Roman"/>
                <w:b/>
                <w:bCs/>
                <w:sz w:val="20"/>
                <w:szCs w:val="20"/>
              </w:rPr>
              <w:t xml:space="preserve">Item 2.02 </w:t>
            </w:r>
          </w:p>
        </w:tc>
        <w:tc>
          <w:tcPr>
            <w:tcW w:w="0" w:type="auto"/>
            <w:hideMark/>
          </w:tcPr>
          <w:p w14:paraId="6DA41113" w14:textId="77777777" w:rsidR="00000000" w:rsidRDefault="004579E0">
            <w:pPr>
              <w:rPr>
                <w:rFonts w:eastAsia="Times New Roman"/>
                <w:sz w:val="20"/>
                <w:szCs w:val="20"/>
              </w:rPr>
            </w:pPr>
            <w:r>
              <w:rPr>
                <w:rFonts w:eastAsia="Times New Roman"/>
                <w:b/>
                <w:bCs/>
                <w:sz w:val="20"/>
                <w:szCs w:val="20"/>
              </w:rPr>
              <w:t>Results of Operations and Financial Condition.</w:t>
            </w:r>
          </w:p>
        </w:tc>
      </w:tr>
    </w:tbl>
    <w:p w14:paraId="2FAEE840" w14:textId="77777777" w:rsidR="00000000" w:rsidRDefault="004579E0">
      <w:pPr>
        <w:pStyle w:val="NormalWeb"/>
        <w:spacing w:before="0" w:beforeAutospacing="0" w:after="0" w:afterAutospacing="0"/>
        <w:jc w:val="both"/>
        <w:divId w:val="187643294"/>
        <w:rPr>
          <w:sz w:val="20"/>
          <w:szCs w:val="20"/>
        </w:rPr>
      </w:pPr>
      <w:r>
        <w:rPr>
          <w:b/>
          <w:bCs/>
          <w:sz w:val="20"/>
          <w:szCs w:val="20"/>
        </w:rPr>
        <w:t> </w:t>
      </w:r>
    </w:p>
    <w:p w14:paraId="64109E56" w14:textId="77777777" w:rsidR="00000000" w:rsidRDefault="004579E0">
      <w:pPr>
        <w:pStyle w:val="NormalWeb"/>
        <w:spacing w:before="0" w:beforeAutospacing="0" w:after="0" w:afterAutospacing="0"/>
        <w:ind w:firstLine="720"/>
        <w:jc w:val="both"/>
        <w:divId w:val="187643294"/>
        <w:rPr>
          <w:sz w:val="20"/>
          <w:szCs w:val="20"/>
        </w:rPr>
      </w:pPr>
      <w:r>
        <w:rPr>
          <w:sz w:val="20"/>
          <w:szCs w:val="20"/>
        </w:rPr>
        <w:t>Attached hereto as Exhibit 9</w:t>
      </w:r>
      <w:r>
        <w:rPr>
          <w:sz w:val="20"/>
          <w:szCs w:val="20"/>
        </w:rPr>
        <w:t>9.1 is a press release (the “Earnings Press Release”) issued by Progressive Care Inc. (the “Company”) on August 12, 2022, announcing its financial results for the three months ended June 30, 2022. The Earnings Press Release is incorporated by reference int</w:t>
      </w:r>
      <w:r>
        <w:rPr>
          <w:sz w:val="20"/>
          <w:szCs w:val="20"/>
        </w:rPr>
        <w:t>o this Item 2.02, and the foregoing description of the Earnings Press Release is qualified in its entirety by reference to this exhibit.</w:t>
      </w:r>
    </w:p>
    <w:p w14:paraId="6C974732" w14:textId="77777777" w:rsidR="00000000" w:rsidRDefault="004579E0">
      <w:pPr>
        <w:pStyle w:val="NormalWeb"/>
        <w:spacing w:before="0" w:beforeAutospacing="0" w:after="0" w:afterAutospacing="0"/>
        <w:ind w:firstLine="720"/>
        <w:jc w:val="both"/>
        <w:divId w:val="187643294"/>
        <w:rPr>
          <w:sz w:val="20"/>
          <w:szCs w:val="20"/>
        </w:rPr>
      </w:pPr>
      <w:r>
        <w:rPr>
          <w:sz w:val="20"/>
          <w:szCs w:val="20"/>
        </w:rPr>
        <w:t> </w:t>
      </w:r>
    </w:p>
    <w:p w14:paraId="02932FF8" w14:textId="77777777" w:rsidR="00000000" w:rsidRDefault="004579E0">
      <w:pPr>
        <w:pStyle w:val="NormalWeb"/>
        <w:spacing w:before="0" w:beforeAutospacing="0" w:after="0" w:afterAutospacing="0"/>
        <w:ind w:firstLine="720"/>
        <w:jc w:val="both"/>
        <w:divId w:val="187643294"/>
        <w:rPr>
          <w:sz w:val="20"/>
          <w:szCs w:val="20"/>
        </w:rPr>
      </w:pPr>
      <w:r>
        <w:rPr>
          <w:sz w:val="20"/>
          <w:szCs w:val="20"/>
        </w:rPr>
        <w:t xml:space="preserve">The </w:t>
      </w:r>
      <w:r>
        <w:rPr>
          <w:sz w:val="20"/>
          <w:szCs w:val="20"/>
        </w:rPr>
        <w:t>information furnished pursuant to this Item 2.02, including Exhibit 99.1, shall not be deemed to be “filed” for the purposes of Section 18 of the Securities Exchange Act of 1934, as amended (the “Exchange Act”), and will not be incorporated by reference in</w:t>
      </w:r>
      <w:r>
        <w:rPr>
          <w:sz w:val="20"/>
          <w:szCs w:val="20"/>
        </w:rPr>
        <w:t>to any filing under the Securities Act of 1933, as amended (the “Securities Act”), unless specifically identified therein as being incorporated therein by reference.</w:t>
      </w:r>
    </w:p>
    <w:p w14:paraId="63A3F8A9" w14:textId="77777777" w:rsidR="00000000" w:rsidRDefault="004579E0">
      <w:pPr>
        <w:pStyle w:val="NormalWeb"/>
        <w:spacing w:before="0" w:beforeAutospacing="0" w:after="0" w:afterAutospacing="0"/>
        <w:jc w:val="both"/>
        <w:divId w:val="18764329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1080"/>
        <w:gridCol w:w="8280"/>
      </w:tblGrid>
      <w:tr w:rsidR="00000000" w14:paraId="644D4CA5" w14:textId="77777777">
        <w:trPr>
          <w:divId w:val="187643294"/>
        </w:trPr>
        <w:tc>
          <w:tcPr>
            <w:tcW w:w="1080" w:type="dxa"/>
            <w:hideMark/>
          </w:tcPr>
          <w:p w14:paraId="248754C0" w14:textId="77777777" w:rsidR="00000000" w:rsidRDefault="004579E0">
            <w:pPr>
              <w:rPr>
                <w:rFonts w:eastAsia="Times New Roman"/>
                <w:sz w:val="20"/>
                <w:szCs w:val="20"/>
              </w:rPr>
            </w:pPr>
            <w:r>
              <w:rPr>
                <w:rFonts w:eastAsia="Times New Roman"/>
                <w:b/>
                <w:bCs/>
                <w:sz w:val="20"/>
                <w:szCs w:val="20"/>
              </w:rPr>
              <w:t>Item 9.01</w:t>
            </w:r>
          </w:p>
        </w:tc>
        <w:tc>
          <w:tcPr>
            <w:tcW w:w="0" w:type="auto"/>
            <w:hideMark/>
          </w:tcPr>
          <w:p w14:paraId="76CAFCB3" w14:textId="77777777" w:rsidR="00000000" w:rsidRDefault="004579E0">
            <w:pPr>
              <w:rPr>
                <w:rFonts w:eastAsia="Times New Roman"/>
                <w:sz w:val="20"/>
                <w:szCs w:val="20"/>
              </w:rPr>
            </w:pPr>
            <w:r>
              <w:rPr>
                <w:rFonts w:eastAsia="Times New Roman"/>
                <w:b/>
                <w:bCs/>
                <w:sz w:val="20"/>
                <w:szCs w:val="20"/>
              </w:rPr>
              <w:t>Financial Statements and Exhibits.</w:t>
            </w:r>
          </w:p>
        </w:tc>
      </w:tr>
    </w:tbl>
    <w:p w14:paraId="04824C42" w14:textId="77777777" w:rsidR="00000000" w:rsidRDefault="004579E0">
      <w:pPr>
        <w:pStyle w:val="NormalWeb"/>
        <w:spacing w:before="0" w:beforeAutospacing="0" w:after="0" w:afterAutospacing="0"/>
        <w:jc w:val="both"/>
        <w:divId w:val="187643294"/>
        <w:rPr>
          <w:sz w:val="20"/>
          <w:szCs w:val="20"/>
        </w:rPr>
      </w:pPr>
      <w:r>
        <w:rPr>
          <w:b/>
          <w:bCs/>
          <w:sz w:val="20"/>
          <w:szCs w:val="20"/>
        </w:rPr>
        <w:t> </w:t>
      </w:r>
    </w:p>
    <w:p w14:paraId="15B42C30" w14:textId="77777777" w:rsidR="00000000" w:rsidRDefault="004579E0">
      <w:pPr>
        <w:pStyle w:val="NormalWeb"/>
        <w:spacing w:before="0" w:beforeAutospacing="0" w:after="0" w:afterAutospacing="0"/>
        <w:jc w:val="both"/>
        <w:divId w:val="187643294"/>
        <w:rPr>
          <w:sz w:val="20"/>
          <w:szCs w:val="20"/>
        </w:rPr>
      </w:pPr>
      <w:r>
        <w:rPr>
          <w:b/>
          <w:bCs/>
          <w:sz w:val="20"/>
          <w:szCs w:val="20"/>
        </w:rPr>
        <w:t>(d) Exhibits</w:t>
      </w:r>
    </w:p>
    <w:p w14:paraId="3C0FE75C" w14:textId="77777777" w:rsidR="00000000" w:rsidRDefault="004579E0">
      <w:pPr>
        <w:pStyle w:val="NormalWeb"/>
        <w:spacing w:before="0" w:beforeAutospacing="0" w:after="0" w:afterAutospacing="0"/>
        <w:jc w:val="both"/>
        <w:divId w:val="187643294"/>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1080"/>
        <w:gridCol w:w="144"/>
        <w:gridCol w:w="8136"/>
      </w:tblGrid>
      <w:tr w:rsidR="00000000" w14:paraId="49116D78" w14:textId="77777777">
        <w:trPr>
          <w:divId w:val="187643294"/>
        </w:trPr>
        <w:tc>
          <w:tcPr>
            <w:tcW w:w="1080" w:type="dxa"/>
            <w:tcBorders>
              <w:bottom w:val="single" w:sz="12" w:space="0" w:color="000000"/>
            </w:tcBorders>
            <w:hideMark/>
          </w:tcPr>
          <w:p w14:paraId="492B778F" w14:textId="77777777" w:rsidR="00000000" w:rsidRDefault="004579E0">
            <w:pPr>
              <w:rPr>
                <w:rFonts w:eastAsia="Times New Roman"/>
                <w:sz w:val="20"/>
                <w:szCs w:val="20"/>
              </w:rPr>
            </w:pPr>
            <w:r>
              <w:rPr>
                <w:rFonts w:eastAsia="Times New Roman"/>
                <w:sz w:val="20"/>
                <w:szCs w:val="20"/>
              </w:rPr>
              <w:t>Exhibit No.</w:t>
            </w:r>
          </w:p>
        </w:tc>
        <w:tc>
          <w:tcPr>
            <w:tcW w:w="144" w:type="dxa"/>
            <w:tcMar>
              <w:top w:w="0" w:type="dxa"/>
              <w:left w:w="0" w:type="dxa"/>
              <w:bottom w:w="30" w:type="dxa"/>
              <w:right w:w="0" w:type="dxa"/>
            </w:tcMar>
            <w:hideMark/>
          </w:tcPr>
          <w:p w14:paraId="23967933" w14:textId="77777777" w:rsidR="00000000" w:rsidRDefault="004579E0">
            <w:pPr>
              <w:rPr>
                <w:rFonts w:eastAsia="Times New Roman"/>
                <w:sz w:val="20"/>
                <w:szCs w:val="20"/>
              </w:rPr>
            </w:pPr>
            <w:r>
              <w:rPr>
                <w:rFonts w:eastAsia="Times New Roman"/>
                <w:sz w:val="20"/>
                <w:szCs w:val="20"/>
              </w:rPr>
              <w:t> </w:t>
            </w:r>
          </w:p>
        </w:tc>
        <w:tc>
          <w:tcPr>
            <w:tcW w:w="0" w:type="auto"/>
            <w:tcBorders>
              <w:bottom w:val="single" w:sz="12" w:space="0" w:color="000000"/>
            </w:tcBorders>
            <w:hideMark/>
          </w:tcPr>
          <w:p w14:paraId="5EB4619B" w14:textId="77777777" w:rsidR="00000000" w:rsidRDefault="004579E0">
            <w:pPr>
              <w:jc w:val="both"/>
              <w:rPr>
                <w:rFonts w:eastAsia="Times New Roman"/>
                <w:sz w:val="20"/>
                <w:szCs w:val="20"/>
              </w:rPr>
            </w:pPr>
            <w:r>
              <w:rPr>
                <w:rFonts w:eastAsia="Times New Roman"/>
                <w:sz w:val="20"/>
                <w:szCs w:val="20"/>
              </w:rPr>
              <w:t>Description of Exhibit</w:t>
            </w:r>
          </w:p>
        </w:tc>
      </w:tr>
      <w:tr w:rsidR="00000000" w14:paraId="505BDA33" w14:textId="77777777">
        <w:trPr>
          <w:divId w:val="187643294"/>
        </w:trPr>
        <w:tc>
          <w:tcPr>
            <w:tcW w:w="0" w:type="auto"/>
            <w:hideMark/>
          </w:tcPr>
          <w:p w14:paraId="3CA17F98" w14:textId="77777777" w:rsidR="00000000" w:rsidRDefault="004579E0">
            <w:pPr>
              <w:rPr>
                <w:rFonts w:eastAsia="Times New Roman"/>
                <w:sz w:val="20"/>
                <w:szCs w:val="20"/>
              </w:rPr>
            </w:pPr>
            <w:r>
              <w:rPr>
                <w:rFonts w:eastAsia="Times New Roman"/>
                <w:sz w:val="20"/>
                <w:szCs w:val="20"/>
              </w:rPr>
              <w:t> </w:t>
            </w:r>
          </w:p>
        </w:tc>
        <w:tc>
          <w:tcPr>
            <w:tcW w:w="0" w:type="auto"/>
            <w:hideMark/>
          </w:tcPr>
          <w:p w14:paraId="1AA8AC62" w14:textId="77777777" w:rsidR="00000000" w:rsidRDefault="004579E0">
            <w:pPr>
              <w:rPr>
                <w:rFonts w:eastAsia="Times New Roman"/>
                <w:sz w:val="20"/>
                <w:szCs w:val="20"/>
              </w:rPr>
            </w:pPr>
            <w:r>
              <w:rPr>
                <w:rFonts w:eastAsia="Times New Roman"/>
                <w:sz w:val="20"/>
                <w:szCs w:val="20"/>
              </w:rPr>
              <w:t> </w:t>
            </w:r>
          </w:p>
        </w:tc>
        <w:tc>
          <w:tcPr>
            <w:tcW w:w="0" w:type="auto"/>
            <w:hideMark/>
          </w:tcPr>
          <w:p w14:paraId="53E9EDFD" w14:textId="77777777" w:rsidR="00000000" w:rsidRDefault="004579E0">
            <w:pPr>
              <w:jc w:val="both"/>
              <w:rPr>
                <w:rFonts w:eastAsia="Times New Roman"/>
                <w:sz w:val="20"/>
                <w:szCs w:val="20"/>
              </w:rPr>
            </w:pPr>
            <w:r>
              <w:rPr>
                <w:rFonts w:eastAsia="Times New Roman"/>
                <w:sz w:val="20"/>
                <w:szCs w:val="20"/>
              </w:rPr>
              <w:t> </w:t>
            </w:r>
          </w:p>
        </w:tc>
      </w:tr>
      <w:tr w:rsidR="00000000" w14:paraId="47CB0CC6" w14:textId="77777777">
        <w:trPr>
          <w:divId w:val="187643294"/>
        </w:trPr>
        <w:tc>
          <w:tcPr>
            <w:tcW w:w="0" w:type="auto"/>
            <w:hideMark/>
          </w:tcPr>
          <w:p w14:paraId="6ECEC7D1" w14:textId="77777777" w:rsidR="00000000" w:rsidRDefault="004579E0">
            <w:pPr>
              <w:rPr>
                <w:rFonts w:eastAsia="Times New Roman"/>
                <w:sz w:val="20"/>
                <w:szCs w:val="20"/>
              </w:rPr>
            </w:pPr>
            <w:r>
              <w:rPr>
                <w:rFonts w:eastAsia="Times New Roman"/>
                <w:sz w:val="20"/>
                <w:szCs w:val="20"/>
              </w:rPr>
              <w:t>99.1</w:t>
            </w:r>
          </w:p>
        </w:tc>
        <w:tc>
          <w:tcPr>
            <w:tcW w:w="0" w:type="auto"/>
            <w:hideMark/>
          </w:tcPr>
          <w:p w14:paraId="0DD48F58" w14:textId="77777777" w:rsidR="00000000" w:rsidRDefault="004579E0">
            <w:pPr>
              <w:rPr>
                <w:rFonts w:eastAsia="Times New Roman"/>
                <w:sz w:val="20"/>
                <w:szCs w:val="20"/>
              </w:rPr>
            </w:pPr>
            <w:r>
              <w:rPr>
                <w:rFonts w:eastAsia="Times New Roman"/>
                <w:sz w:val="20"/>
                <w:szCs w:val="20"/>
              </w:rPr>
              <w:t> </w:t>
            </w:r>
          </w:p>
        </w:tc>
        <w:tc>
          <w:tcPr>
            <w:tcW w:w="0" w:type="auto"/>
            <w:hideMark/>
          </w:tcPr>
          <w:p w14:paraId="2E8BE488" w14:textId="6EC8CC4B" w:rsidR="00000000" w:rsidRDefault="004579E0">
            <w:pPr>
              <w:jc w:val="both"/>
              <w:rPr>
                <w:rFonts w:eastAsia="Times New Roman"/>
                <w:sz w:val="20"/>
                <w:szCs w:val="20"/>
              </w:rPr>
            </w:pPr>
            <w:hyperlink r:id="rId4" w:history="1">
              <w:r>
                <w:rPr>
                  <w:rStyle w:val="Hyperlink"/>
                  <w:rFonts w:eastAsia="Times New Roman"/>
                  <w:sz w:val="20"/>
                  <w:szCs w:val="20"/>
                </w:rPr>
                <w:t>Earnings Press Release dated August 12, 2022</w:t>
              </w:r>
            </w:hyperlink>
          </w:p>
        </w:tc>
      </w:tr>
      <w:tr w:rsidR="00000000" w14:paraId="04E256F6" w14:textId="77777777">
        <w:trPr>
          <w:divId w:val="187643294"/>
        </w:trPr>
        <w:tc>
          <w:tcPr>
            <w:tcW w:w="0" w:type="auto"/>
            <w:hideMark/>
          </w:tcPr>
          <w:p w14:paraId="53B5D9D3" w14:textId="77777777" w:rsidR="00000000" w:rsidRDefault="004579E0">
            <w:pPr>
              <w:rPr>
                <w:rFonts w:eastAsia="Times New Roman"/>
                <w:sz w:val="20"/>
                <w:szCs w:val="20"/>
              </w:rPr>
            </w:pPr>
            <w:r>
              <w:rPr>
                <w:rFonts w:eastAsia="Times New Roman"/>
                <w:sz w:val="20"/>
                <w:szCs w:val="20"/>
              </w:rPr>
              <w:t> </w:t>
            </w:r>
          </w:p>
        </w:tc>
        <w:tc>
          <w:tcPr>
            <w:tcW w:w="0" w:type="auto"/>
            <w:hideMark/>
          </w:tcPr>
          <w:p w14:paraId="027261F3" w14:textId="77777777" w:rsidR="00000000" w:rsidRDefault="004579E0">
            <w:pPr>
              <w:rPr>
                <w:rFonts w:eastAsia="Times New Roman"/>
                <w:sz w:val="20"/>
                <w:szCs w:val="20"/>
              </w:rPr>
            </w:pPr>
            <w:r>
              <w:rPr>
                <w:rFonts w:eastAsia="Times New Roman"/>
                <w:sz w:val="20"/>
                <w:szCs w:val="20"/>
              </w:rPr>
              <w:t> </w:t>
            </w:r>
          </w:p>
        </w:tc>
        <w:tc>
          <w:tcPr>
            <w:tcW w:w="0" w:type="auto"/>
            <w:hideMark/>
          </w:tcPr>
          <w:p w14:paraId="79246923" w14:textId="77777777" w:rsidR="00000000" w:rsidRDefault="004579E0">
            <w:pPr>
              <w:jc w:val="both"/>
              <w:rPr>
                <w:rFonts w:eastAsia="Times New Roman"/>
                <w:sz w:val="20"/>
                <w:szCs w:val="20"/>
              </w:rPr>
            </w:pPr>
            <w:r>
              <w:rPr>
                <w:rFonts w:eastAsia="Times New Roman"/>
                <w:sz w:val="20"/>
                <w:szCs w:val="20"/>
              </w:rPr>
              <w:t> </w:t>
            </w:r>
          </w:p>
        </w:tc>
      </w:tr>
      <w:tr w:rsidR="00000000" w14:paraId="2B5A623F" w14:textId="77777777">
        <w:trPr>
          <w:divId w:val="187643294"/>
        </w:trPr>
        <w:tc>
          <w:tcPr>
            <w:tcW w:w="0" w:type="auto"/>
            <w:hideMark/>
          </w:tcPr>
          <w:p w14:paraId="7A2ECD7E" w14:textId="77777777" w:rsidR="00000000" w:rsidRDefault="004579E0">
            <w:pPr>
              <w:rPr>
                <w:rFonts w:eastAsia="Times New Roman"/>
                <w:sz w:val="20"/>
                <w:szCs w:val="20"/>
              </w:rPr>
            </w:pPr>
            <w:r>
              <w:rPr>
                <w:rFonts w:eastAsia="Times New Roman"/>
                <w:sz w:val="20"/>
                <w:szCs w:val="20"/>
              </w:rPr>
              <w:t>104</w:t>
            </w:r>
          </w:p>
        </w:tc>
        <w:tc>
          <w:tcPr>
            <w:tcW w:w="0" w:type="auto"/>
            <w:hideMark/>
          </w:tcPr>
          <w:p w14:paraId="708E4877" w14:textId="77777777" w:rsidR="00000000" w:rsidRDefault="004579E0">
            <w:pPr>
              <w:rPr>
                <w:rFonts w:eastAsia="Times New Roman"/>
                <w:sz w:val="20"/>
                <w:szCs w:val="20"/>
              </w:rPr>
            </w:pPr>
            <w:r>
              <w:rPr>
                <w:rFonts w:eastAsia="Times New Roman"/>
                <w:sz w:val="20"/>
                <w:szCs w:val="20"/>
              </w:rPr>
              <w:t> </w:t>
            </w:r>
          </w:p>
        </w:tc>
        <w:tc>
          <w:tcPr>
            <w:tcW w:w="0" w:type="auto"/>
            <w:hideMark/>
          </w:tcPr>
          <w:p w14:paraId="1D7EFA70" w14:textId="77777777" w:rsidR="00000000" w:rsidRDefault="004579E0">
            <w:pPr>
              <w:jc w:val="both"/>
              <w:rPr>
                <w:rFonts w:eastAsia="Times New Roman"/>
                <w:sz w:val="20"/>
                <w:szCs w:val="20"/>
              </w:rPr>
            </w:pPr>
            <w:r>
              <w:rPr>
                <w:rFonts w:eastAsia="Times New Roman"/>
                <w:sz w:val="20"/>
                <w:szCs w:val="20"/>
              </w:rPr>
              <w:t>Cover Page Interactive Data File (formatted as Inline XBRL)</w:t>
            </w:r>
          </w:p>
        </w:tc>
      </w:tr>
    </w:tbl>
    <w:p w14:paraId="4577D045" w14:textId="77777777" w:rsidR="00000000" w:rsidRDefault="004579E0">
      <w:pPr>
        <w:pStyle w:val="NormalWeb"/>
        <w:spacing w:before="0" w:beforeAutospacing="0" w:after="0" w:afterAutospacing="0"/>
        <w:jc w:val="both"/>
        <w:divId w:val="187643294"/>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9360"/>
      </w:tblGrid>
      <w:tr w:rsidR="00000000" w14:paraId="148388C4" w14:textId="77777777">
        <w:trPr>
          <w:divId w:val="162475024"/>
        </w:trPr>
        <w:tc>
          <w:tcPr>
            <w:tcW w:w="5000" w:type="pct"/>
            <w:hideMark/>
          </w:tcPr>
          <w:p w14:paraId="207DC88D" w14:textId="77777777" w:rsidR="00000000" w:rsidRDefault="004579E0">
            <w:pPr>
              <w:rPr>
                <w:rFonts w:eastAsia="Times New Roman"/>
                <w:sz w:val="20"/>
                <w:szCs w:val="20"/>
              </w:rPr>
            </w:pPr>
            <w:r>
              <w:rPr>
                <w:rFonts w:eastAsia="Times New Roman"/>
                <w:sz w:val="20"/>
                <w:szCs w:val="20"/>
              </w:rPr>
              <w:t> </w:t>
            </w:r>
          </w:p>
        </w:tc>
      </w:tr>
    </w:tbl>
    <w:p w14:paraId="15227BE1" w14:textId="77777777" w:rsidR="00000000" w:rsidRDefault="004579E0">
      <w:pPr>
        <w:pStyle w:val="NormalWeb"/>
        <w:spacing w:before="0" w:beforeAutospacing="0" w:after="0" w:afterAutospacing="0"/>
        <w:divId w:val="1802962641"/>
        <w:rPr>
          <w:sz w:val="20"/>
          <w:szCs w:val="20"/>
        </w:rPr>
      </w:pPr>
      <w:r>
        <w:rPr>
          <w:sz w:val="20"/>
          <w:szCs w:val="20"/>
        </w:rPr>
        <w:t> </w:t>
      </w:r>
    </w:p>
    <w:p w14:paraId="66F734D0" w14:textId="77777777" w:rsidR="00000000" w:rsidRDefault="004579E0">
      <w:pPr>
        <w:pStyle w:val="NormalWeb"/>
        <w:spacing w:before="0" w:beforeAutospacing="0" w:after="0" w:afterAutospacing="0"/>
        <w:jc w:val="center"/>
        <w:divId w:val="187643294"/>
        <w:rPr>
          <w:sz w:val="20"/>
          <w:szCs w:val="20"/>
        </w:rPr>
      </w:pPr>
      <w:r>
        <w:rPr>
          <w:sz w:val="20"/>
          <w:szCs w:val="20"/>
        </w:rPr>
        <w:t> </w:t>
      </w:r>
    </w:p>
    <w:p w14:paraId="34B1F3BE" w14:textId="77777777" w:rsidR="00000000" w:rsidRDefault="004579E0">
      <w:pPr>
        <w:pStyle w:val="NormalWeb"/>
        <w:spacing w:before="0" w:beforeAutospacing="0" w:after="0" w:afterAutospacing="0"/>
        <w:jc w:val="center"/>
        <w:divId w:val="187643294"/>
        <w:rPr>
          <w:sz w:val="20"/>
          <w:szCs w:val="20"/>
        </w:rPr>
      </w:pPr>
      <w:r>
        <w:rPr>
          <w:b/>
          <w:bCs/>
          <w:sz w:val="20"/>
          <w:szCs w:val="20"/>
        </w:rPr>
        <w:t>SIGNATURES</w:t>
      </w:r>
    </w:p>
    <w:p w14:paraId="29E0943F" w14:textId="77777777" w:rsidR="00000000" w:rsidRDefault="004579E0">
      <w:pPr>
        <w:pStyle w:val="NormalWeb"/>
        <w:spacing w:before="0" w:beforeAutospacing="0" w:after="0" w:afterAutospacing="0"/>
        <w:jc w:val="center"/>
        <w:divId w:val="187643294"/>
        <w:rPr>
          <w:sz w:val="20"/>
          <w:szCs w:val="20"/>
        </w:rPr>
      </w:pPr>
      <w:r>
        <w:rPr>
          <w:b/>
          <w:bCs/>
          <w:sz w:val="20"/>
          <w:szCs w:val="20"/>
        </w:rPr>
        <w:t> </w:t>
      </w:r>
    </w:p>
    <w:p w14:paraId="27A3EEA9" w14:textId="77777777" w:rsidR="00000000" w:rsidRDefault="004579E0">
      <w:pPr>
        <w:pStyle w:val="NormalWeb"/>
        <w:spacing w:before="0" w:beforeAutospacing="0" w:after="0" w:afterAutospacing="0"/>
        <w:jc w:val="both"/>
        <w:divId w:val="187643294"/>
        <w:rPr>
          <w:sz w:val="20"/>
          <w:szCs w:val="20"/>
        </w:rPr>
      </w:pPr>
      <w:r>
        <w:rPr>
          <w:sz w:val="20"/>
          <w:szCs w:val="20"/>
        </w:rPr>
        <w:t xml:space="preserve">Pursuant </w:t>
      </w:r>
      <w:r>
        <w:rPr>
          <w:sz w:val="20"/>
          <w:szCs w:val="20"/>
        </w:rPr>
        <w:t>to the requirements of the Securities Exchange Act of 1934, the Registrant has duly caused this report to be signed on its behalf by the undersigned, hereunto duly authorized.</w:t>
      </w:r>
    </w:p>
    <w:p w14:paraId="57077E98" w14:textId="77777777" w:rsidR="00000000" w:rsidRDefault="004579E0">
      <w:pPr>
        <w:pStyle w:val="NormalWeb"/>
        <w:spacing w:before="0" w:beforeAutospacing="0" w:after="0" w:afterAutospacing="0"/>
        <w:divId w:val="18764329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4647"/>
        <w:gridCol w:w="534"/>
        <w:gridCol w:w="4179"/>
      </w:tblGrid>
      <w:tr w:rsidR="00000000" w14:paraId="0E89189F" w14:textId="77777777">
        <w:trPr>
          <w:divId w:val="187643294"/>
        </w:trPr>
        <w:tc>
          <w:tcPr>
            <w:tcW w:w="0" w:type="auto"/>
            <w:hideMark/>
          </w:tcPr>
          <w:p w14:paraId="559065B5" w14:textId="77777777" w:rsidR="00000000" w:rsidRDefault="004579E0">
            <w:pPr>
              <w:rPr>
                <w:rFonts w:eastAsia="Times New Roman"/>
                <w:sz w:val="20"/>
                <w:szCs w:val="20"/>
              </w:rPr>
            </w:pPr>
            <w:r>
              <w:rPr>
                <w:rFonts w:eastAsia="Times New Roman"/>
                <w:sz w:val="20"/>
                <w:szCs w:val="20"/>
              </w:rPr>
              <w:t> </w:t>
            </w:r>
          </w:p>
        </w:tc>
        <w:tc>
          <w:tcPr>
            <w:tcW w:w="0" w:type="auto"/>
            <w:gridSpan w:val="2"/>
            <w:hideMark/>
          </w:tcPr>
          <w:p w14:paraId="1F9ABE74" w14:textId="77777777" w:rsidR="00000000" w:rsidRDefault="004579E0">
            <w:pPr>
              <w:rPr>
                <w:rFonts w:eastAsia="Times New Roman"/>
                <w:sz w:val="20"/>
                <w:szCs w:val="20"/>
              </w:rPr>
            </w:pPr>
            <w:r>
              <w:rPr>
                <w:rFonts w:eastAsia="Times New Roman"/>
                <w:b/>
                <w:bCs/>
                <w:sz w:val="20"/>
                <w:szCs w:val="20"/>
              </w:rPr>
              <w:t>Progressive Care Inc.</w:t>
            </w:r>
          </w:p>
        </w:tc>
      </w:tr>
      <w:tr w:rsidR="00000000" w14:paraId="63BBAD93" w14:textId="77777777">
        <w:trPr>
          <w:divId w:val="187643294"/>
        </w:trPr>
        <w:tc>
          <w:tcPr>
            <w:tcW w:w="0" w:type="auto"/>
            <w:hideMark/>
          </w:tcPr>
          <w:p w14:paraId="3C82533E" w14:textId="77777777" w:rsidR="00000000" w:rsidRDefault="004579E0">
            <w:pPr>
              <w:rPr>
                <w:rFonts w:eastAsia="Times New Roman"/>
                <w:sz w:val="20"/>
                <w:szCs w:val="20"/>
              </w:rPr>
            </w:pPr>
            <w:r>
              <w:rPr>
                <w:rFonts w:eastAsia="Times New Roman"/>
                <w:sz w:val="20"/>
                <w:szCs w:val="20"/>
              </w:rPr>
              <w:t> </w:t>
            </w:r>
          </w:p>
        </w:tc>
        <w:tc>
          <w:tcPr>
            <w:tcW w:w="0" w:type="auto"/>
            <w:gridSpan w:val="2"/>
            <w:hideMark/>
          </w:tcPr>
          <w:p w14:paraId="6EC0564D" w14:textId="77777777" w:rsidR="00000000" w:rsidRDefault="004579E0">
            <w:pPr>
              <w:rPr>
                <w:rFonts w:eastAsia="Times New Roman"/>
                <w:sz w:val="20"/>
                <w:szCs w:val="20"/>
              </w:rPr>
            </w:pPr>
            <w:r>
              <w:rPr>
                <w:rFonts w:eastAsia="Times New Roman"/>
                <w:sz w:val="20"/>
                <w:szCs w:val="20"/>
              </w:rPr>
              <w:t> </w:t>
            </w:r>
          </w:p>
        </w:tc>
      </w:tr>
      <w:tr w:rsidR="00000000" w14:paraId="3D422E71" w14:textId="77777777">
        <w:trPr>
          <w:divId w:val="187643294"/>
        </w:trPr>
        <w:tc>
          <w:tcPr>
            <w:tcW w:w="2500" w:type="pct"/>
            <w:tcMar>
              <w:top w:w="0" w:type="dxa"/>
              <w:left w:w="0" w:type="dxa"/>
              <w:bottom w:w="30" w:type="dxa"/>
              <w:right w:w="0" w:type="dxa"/>
            </w:tcMar>
            <w:hideMark/>
          </w:tcPr>
          <w:p w14:paraId="31FEC5EE" w14:textId="77777777" w:rsidR="00000000" w:rsidRDefault="004579E0">
            <w:pPr>
              <w:rPr>
                <w:rFonts w:eastAsia="Times New Roman"/>
                <w:sz w:val="20"/>
                <w:szCs w:val="20"/>
              </w:rPr>
            </w:pPr>
            <w:r>
              <w:rPr>
                <w:rFonts w:eastAsia="Times New Roman"/>
                <w:sz w:val="20"/>
                <w:szCs w:val="20"/>
              </w:rPr>
              <w:t> </w:t>
            </w:r>
          </w:p>
        </w:tc>
        <w:tc>
          <w:tcPr>
            <w:tcW w:w="250" w:type="pct"/>
            <w:tcMar>
              <w:top w:w="0" w:type="dxa"/>
              <w:left w:w="0" w:type="dxa"/>
              <w:bottom w:w="30" w:type="dxa"/>
              <w:right w:w="0" w:type="dxa"/>
            </w:tcMar>
            <w:hideMark/>
          </w:tcPr>
          <w:p w14:paraId="15FC1A06" w14:textId="77777777" w:rsidR="00000000" w:rsidRDefault="004579E0">
            <w:pPr>
              <w:rPr>
                <w:rFonts w:eastAsia="Times New Roman"/>
                <w:sz w:val="20"/>
                <w:szCs w:val="20"/>
              </w:rPr>
            </w:pPr>
            <w:r>
              <w:rPr>
                <w:rFonts w:eastAsia="Times New Roman"/>
                <w:sz w:val="20"/>
                <w:szCs w:val="20"/>
              </w:rPr>
              <w:t>By</w:t>
            </w:r>
          </w:p>
        </w:tc>
        <w:tc>
          <w:tcPr>
            <w:tcW w:w="2250" w:type="pct"/>
            <w:tcBorders>
              <w:bottom w:val="single" w:sz="12" w:space="0" w:color="000000"/>
            </w:tcBorders>
            <w:hideMark/>
          </w:tcPr>
          <w:p w14:paraId="037F1480" w14:textId="77777777" w:rsidR="00000000" w:rsidRDefault="004579E0">
            <w:pPr>
              <w:rPr>
                <w:rFonts w:eastAsia="Times New Roman"/>
                <w:sz w:val="20"/>
                <w:szCs w:val="20"/>
              </w:rPr>
            </w:pPr>
            <w:r>
              <w:rPr>
                <w:rFonts w:eastAsia="Times New Roman"/>
                <w:sz w:val="20"/>
                <w:szCs w:val="20"/>
              </w:rPr>
              <w:t xml:space="preserve">/s/ </w:t>
            </w:r>
            <w:r>
              <w:rPr>
                <w:rFonts w:eastAsia="Times New Roman"/>
                <w:i/>
                <w:iCs/>
                <w:sz w:val="20"/>
                <w:szCs w:val="20"/>
              </w:rPr>
              <w:t>Jay Weisberg</w:t>
            </w:r>
          </w:p>
        </w:tc>
      </w:tr>
      <w:tr w:rsidR="00000000" w14:paraId="59DBF67F" w14:textId="77777777">
        <w:trPr>
          <w:divId w:val="187643294"/>
        </w:trPr>
        <w:tc>
          <w:tcPr>
            <w:tcW w:w="0" w:type="auto"/>
            <w:hideMark/>
          </w:tcPr>
          <w:p w14:paraId="2EFC8AE1" w14:textId="77777777" w:rsidR="00000000" w:rsidRDefault="004579E0">
            <w:pPr>
              <w:rPr>
                <w:rFonts w:eastAsia="Times New Roman"/>
                <w:sz w:val="20"/>
                <w:szCs w:val="20"/>
              </w:rPr>
            </w:pPr>
            <w:r>
              <w:rPr>
                <w:rFonts w:eastAsia="Times New Roman"/>
                <w:sz w:val="20"/>
                <w:szCs w:val="20"/>
              </w:rPr>
              <w:t> </w:t>
            </w:r>
          </w:p>
        </w:tc>
        <w:tc>
          <w:tcPr>
            <w:tcW w:w="0" w:type="auto"/>
            <w:hideMark/>
          </w:tcPr>
          <w:p w14:paraId="2968ADCF" w14:textId="77777777" w:rsidR="00000000" w:rsidRDefault="004579E0">
            <w:pPr>
              <w:rPr>
                <w:rFonts w:eastAsia="Times New Roman"/>
                <w:sz w:val="20"/>
                <w:szCs w:val="20"/>
              </w:rPr>
            </w:pPr>
            <w:r>
              <w:rPr>
                <w:rFonts w:eastAsia="Times New Roman"/>
                <w:sz w:val="20"/>
                <w:szCs w:val="20"/>
              </w:rPr>
              <w:t>Name:</w:t>
            </w:r>
          </w:p>
        </w:tc>
        <w:tc>
          <w:tcPr>
            <w:tcW w:w="0" w:type="auto"/>
            <w:hideMark/>
          </w:tcPr>
          <w:p w14:paraId="2FE0B066" w14:textId="77777777" w:rsidR="00000000" w:rsidRDefault="004579E0">
            <w:pPr>
              <w:pStyle w:val="NormalWeb"/>
              <w:spacing w:before="0" w:beforeAutospacing="0" w:after="0" w:afterAutospacing="0"/>
              <w:rPr>
                <w:sz w:val="20"/>
                <w:szCs w:val="20"/>
              </w:rPr>
            </w:pPr>
            <w:r>
              <w:rPr>
                <w:sz w:val="20"/>
                <w:szCs w:val="20"/>
              </w:rPr>
              <w:t xml:space="preserve">Jay </w:t>
            </w:r>
            <w:r>
              <w:rPr>
                <w:sz w:val="20"/>
                <w:szCs w:val="20"/>
              </w:rPr>
              <w:t>Weisberg</w:t>
            </w:r>
          </w:p>
        </w:tc>
      </w:tr>
      <w:tr w:rsidR="00000000" w14:paraId="7F9B05CD" w14:textId="77777777">
        <w:trPr>
          <w:divId w:val="187643294"/>
        </w:trPr>
        <w:tc>
          <w:tcPr>
            <w:tcW w:w="0" w:type="auto"/>
            <w:hideMark/>
          </w:tcPr>
          <w:p w14:paraId="668C3DE0" w14:textId="77777777" w:rsidR="00000000" w:rsidRDefault="004579E0">
            <w:pPr>
              <w:rPr>
                <w:rFonts w:eastAsia="Times New Roman"/>
                <w:sz w:val="20"/>
                <w:szCs w:val="20"/>
              </w:rPr>
            </w:pPr>
            <w:r>
              <w:rPr>
                <w:rFonts w:eastAsia="Times New Roman"/>
                <w:sz w:val="20"/>
                <w:szCs w:val="20"/>
              </w:rPr>
              <w:t> </w:t>
            </w:r>
          </w:p>
        </w:tc>
        <w:tc>
          <w:tcPr>
            <w:tcW w:w="0" w:type="auto"/>
            <w:hideMark/>
          </w:tcPr>
          <w:p w14:paraId="2D2EAF1D" w14:textId="77777777" w:rsidR="00000000" w:rsidRDefault="004579E0">
            <w:pPr>
              <w:rPr>
                <w:rFonts w:eastAsia="Times New Roman"/>
                <w:sz w:val="20"/>
                <w:szCs w:val="20"/>
              </w:rPr>
            </w:pPr>
            <w:r>
              <w:rPr>
                <w:rFonts w:eastAsia="Times New Roman"/>
                <w:sz w:val="20"/>
                <w:szCs w:val="20"/>
              </w:rPr>
              <w:t>Title:</w:t>
            </w:r>
          </w:p>
        </w:tc>
        <w:tc>
          <w:tcPr>
            <w:tcW w:w="0" w:type="auto"/>
            <w:hideMark/>
          </w:tcPr>
          <w:p w14:paraId="7300C539" w14:textId="77777777" w:rsidR="00000000" w:rsidRDefault="004579E0">
            <w:pPr>
              <w:rPr>
                <w:rFonts w:eastAsia="Times New Roman"/>
                <w:sz w:val="20"/>
                <w:szCs w:val="20"/>
              </w:rPr>
            </w:pPr>
            <w:r>
              <w:rPr>
                <w:rFonts w:eastAsia="Times New Roman"/>
                <w:sz w:val="20"/>
                <w:szCs w:val="20"/>
              </w:rPr>
              <w:t>Chief Executive Officer</w:t>
            </w:r>
          </w:p>
        </w:tc>
      </w:tr>
    </w:tbl>
    <w:p w14:paraId="793A9177" w14:textId="77777777" w:rsidR="00000000" w:rsidRDefault="004579E0">
      <w:pPr>
        <w:pStyle w:val="NormalWeb"/>
        <w:spacing w:before="0" w:beforeAutospacing="0" w:after="0" w:afterAutospacing="0"/>
        <w:jc w:val="center"/>
        <w:divId w:val="187643294"/>
        <w:rPr>
          <w:sz w:val="20"/>
          <w:szCs w:val="20"/>
        </w:rPr>
      </w:pPr>
      <w:r>
        <w:rPr>
          <w:sz w:val="20"/>
          <w:szCs w:val="20"/>
        </w:rPr>
        <w:t> </w:t>
      </w:r>
    </w:p>
    <w:p w14:paraId="56EB7625" w14:textId="77777777" w:rsidR="00000000" w:rsidRDefault="004579E0">
      <w:pPr>
        <w:pStyle w:val="NormalWeb"/>
        <w:spacing w:before="0" w:beforeAutospacing="0" w:after="0" w:afterAutospacing="0"/>
        <w:jc w:val="both"/>
        <w:divId w:val="187643294"/>
        <w:rPr>
          <w:sz w:val="20"/>
          <w:szCs w:val="20"/>
        </w:rPr>
      </w:pPr>
      <w:r>
        <w:rPr>
          <w:sz w:val="20"/>
          <w:szCs w:val="20"/>
        </w:rPr>
        <w:t>Date: August 12, 2022</w:t>
      </w:r>
    </w:p>
    <w:p w14:paraId="22204348" w14:textId="77777777" w:rsidR="00000000" w:rsidRDefault="004579E0">
      <w:pPr>
        <w:pStyle w:val="NormalWeb"/>
        <w:spacing w:before="0" w:beforeAutospacing="0" w:after="0" w:afterAutospacing="0"/>
        <w:jc w:val="center"/>
        <w:divId w:val="18764329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000000" w14:paraId="0D8D8869" w14:textId="77777777">
        <w:trPr>
          <w:divId w:val="1343706278"/>
        </w:trPr>
        <w:tc>
          <w:tcPr>
            <w:tcW w:w="5000" w:type="pct"/>
            <w:hideMark/>
          </w:tcPr>
          <w:p w14:paraId="4AC1F2D4" w14:textId="77777777" w:rsidR="00000000" w:rsidRDefault="004579E0">
            <w:pPr>
              <w:rPr>
                <w:rFonts w:eastAsia="Times New Roman"/>
                <w:sz w:val="20"/>
                <w:szCs w:val="20"/>
              </w:rPr>
            </w:pPr>
            <w:r>
              <w:rPr>
                <w:rFonts w:eastAsia="Times New Roman"/>
                <w:sz w:val="20"/>
                <w:szCs w:val="20"/>
              </w:rPr>
              <w:t> </w:t>
            </w:r>
          </w:p>
        </w:tc>
      </w:tr>
    </w:tbl>
    <w:p w14:paraId="09B6CC03" w14:textId="77777777" w:rsidR="00000000" w:rsidRDefault="004579E0">
      <w:pPr>
        <w:pStyle w:val="NormalWeb"/>
        <w:spacing w:before="0" w:beforeAutospacing="0" w:after="0" w:afterAutospacing="0"/>
        <w:jc w:val="center"/>
        <w:divId w:val="1472868164"/>
        <w:rPr>
          <w:sz w:val="20"/>
          <w:szCs w:val="20"/>
        </w:rPr>
      </w:pPr>
      <w:bookmarkStart w:id="1" w:name="gfpex99-1.htm"/>
      <w:bookmarkEnd w:id="1"/>
      <w:r>
        <w:rPr>
          <w:sz w:val="20"/>
          <w:szCs w:val="20"/>
        </w:rPr>
        <w:t> </w:t>
      </w:r>
    </w:p>
    <w:p w14:paraId="44BD347B" w14:textId="77777777" w:rsidR="00000000" w:rsidRDefault="004579E0">
      <w:pPr>
        <w:pStyle w:val="NormalWeb"/>
        <w:shd w:val="clear" w:color="auto" w:fill="FFFFFF"/>
        <w:spacing w:before="0" w:beforeAutospacing="0" w:after="0" w:afterAutospacing="0"/>
        <w:jc w:val="right"/>
        <w:divId w:val="1472868164"/>
        <w:rPr>
          <w:sz w:val="20"/>
          <w:szCs w:val="20"/>
        </w:rPr>
      </w:pPr>
      <w:r>
        <w:rPr>
          <w:b/>
          <w:bCs/>
          <w:sz w:val="20"/>
          <w:szCs w:val="20"/>
        </w:rPr>
        <w:t>Exhibit 99.1</w:t>
      </w:r>
    </w:p>
    <w:p w14:paraId="29931EAA" w14:textId="77777777" w:rsidR="00000000" w:rsidRDefault="004579E0">
      <w:pPr>
        <w:pStyle w:val="NormalWeb"/>
        <w:shd w:val="clear" w:color="auto" w:fill="FFFFFF"/>
        <w:spacing w:before="0" w:beforeAutospacing="0" w:after="0" w:afterAutospacing="0"/>
        <w:jc w:val="center"/>
        <w:divId w:val="1472868164"/>
        <w:rPr>
          <w:sz w:val="20"/>
          <w:szCs w:val="20"/>
        </w:rPr>
      </w:pPr>
      <w:r>
        <w:rPr>
          <w:b/>
          <w:bCs/>
          <w:sz w:val="20"/>
          <w:szCs w:val="20"/>
        </w:rPr>
        <w:t> </w:t>
      </w:r>
    </w:p>
    <w:p w14:paraId="0C0C1A48" w14:textId="77777777" w:rsidR="00000000" w:rsidRDefault="004579E0">
      <w:pPr>
        <w:pStyle w:val="NormalWeb"/>
        <w:shd w:val="clear" w:color="auto" w:fill="FFFFFF"/>
        <w:spacing w:before="0" w:beforeAutospacing="0" w:after="0" w:afterAutospacing="0"/>
        <w:jc w:val="center"/>
        <w:divId w:val="1472868164"/>
        <w:rPr>
          <w:sz w:val="20"/>
          <w:szCs w:val="20"/>
        </w:rPr>
      </w:pPr>
      <w:r>
        <w:rPr>
          <w:b/>
          <w:bCs/>
          <w:sz w:val="20"/>
          <w:szCs w:val="20"/>
        </w:rPr>
        <w:t xml:space="preserve">Progressive </w:t>
      </w:r>
      <w:r>
        <w:rPr>
          <w:b/>
          <w:bCs/>
          <w:sz w:val="20"/>
          <w:szCs w:val="20"/>
        </w:rPr>
        <w:t>Care Reports Second Quarter 2022 Results Highlighted by 4% Growth to $10.0 Million in Revenue</w:t>
      </w:r>
    </w:p>
    <w:p w14:paraId="4758EA50" w14:textId="77777777" w:rsidR="00000000" w:rsidRDefault="004579E0">
      <w:pPr>
        <w:pStyle w:val="NormalWeb"/>
        <w:spacing w:before="0" w:beforeAutospacing="0" w:after="0" w:afterAutospacing="0"/>
        <w:jc w:val="center"/>
        <w:divId w:val="1472868164"/>
        <w:rPr>
          <w:sz w:val="20"/>
          <w:szCs w:val="20"/>
        </w:rPr>
      </w:pPr>
      <w:r>
        <w:rPr>
          <w:b/>
          <w:bCs/>
          <w:sz w:val="20"/>
          <w:szCs w:val="20"/>
        </w:rPr>
        <w:t> </w:t>
      </w:r>
    </w:p>
    <w:p w14:paraId="3921D4B5" w14:textId="77777777" w:rsidR="00000000" w:rsidRDefault="004579E0">
      <w:pPr>
        <w:pStyle w:val="NormalWeb"/>
        <w:shd w:val="clear" w:color="auto" w:fill="FFFFFF"/>
        <w:spacing w:before="0" w:beforeAutospacing="0" w:after="0" w:afterAutospacing="0"/>
        <w:jc w:val="center"/>
        <w:divId w:val="1472868164"/>
        <w:rPr>
          <w:sz w:val="20"/>
          <w:szCs w:val="20"/>
        </w:rPr>
      </w:pPr>
      <w:r>
        <w:rPr>
          <w:b/>
          <w:bCs/>
          <w:i/>
          <w:iCs/>
          <w:sz w:val="20"/>
          <w:szCs w:val="20"/>
        </w:rPr>
        <w:t>Core Prescription Revenue Growth of 13%</w:t>
      </w:r>
    </w:p>
    <w:p w14:paraId="61E9EED5" w14:textId="77777777" w:rsidR="00000000" w:rsidRDefault="004579E0">
      <w:pPr>
        <w:pStyle w:val="NormalWeb"/>
        <w:shd w:val="clear" w:color="auto" w:fill="FFFFFF"/>
        <w:spacing w:before="0" w:beforeAutospacing="0" w:after="0" w:afterAutospacing="0"/>
        <w:jc w:val="center"/>
        <w:divId w:val="1472868164"/>
        <w:rPr>
          <w:sz w:val="20"/>
          <w:szCs w:val="20"/>
        </w:rPr>
      </w:pPr>
      <w:r>
        <w:rPr>
          <w:b/>
          <w:bCs/>
          <w:i/>
          <w:iCs/>
          <w:sz w:val="20"/>
          <w:szCs w:val="20"/>
        </w:rPr>
        <w:t> </w:t>
      </w:r>
    </w:p>
    <w:p w14:paraId="667C3B5E" w14:textId="77777777" w:rsidR="00000000" w:rsidRDefault="004579E0">
      <w:pPr>
        <w:pStyle w:val="NormalWeb"/>
        <w:shd w:val="clear" w:color="auto" w:fill="FFFFFF"/>
        <w:spacing w:before="0" w:beforeAutospacing="0" w:after="0" w:afterAutospacing="0"/>
        <w:jc w:val="both"/>
        <w:divId w:val="1472868164"/>
        <w:rPr>
          <w:sz w:val="20"/>
          <w:szCs w:val="20"/>
        </w:rPr>
      </w:pPr>
      <w:r>
        <w:rPr>
          <w:b/>
          <w:bCs/>
          <w:sz w:val="20"/>
          <w:szCs w:val="20"/>
        </w:rPr>
        <w:t>Miami, FL – August 12, 2022 – Globe Newswire via NewMediaWire – Progressive Care, Inc</w:t>
      </w:r>
      <w:r>
        <w:rPr>
          <w:sz w:val="20"/>
          <w:szCs w:val="20"/>
        </w:rPr>
        <w:t xml:space="preserve">. (OTCQB: </w:t>
      </w:r>
      <w:r>
        <w:rPr>
          <w:sz w:val="20"/>
          <w:szCs w:val="20"/>
          <w:u w:val="single"/>
        </w:rPr>
        <w:t>RXMD</w:t>
      </w:r>
      <w:r>
        <w:rPr>
          <w:sz w:val="20"/>
          <w:szCs w:val="20"/>
        </w:rPr>
        <w:t xml:space="preserve">) (the “Company”), </w:t>
      </w:r>
      <w:r>
        <w:rPr>
          <w:sz w:val="20"/>
          <w:szCs w:val="20"/>
        </w:rPr>
        <w:t>a personalized healthcare services and technology provider, today announced financial and operational results for the three and six months ended June 30, 2022.</w:t>
      </w:r>
    </w:p>
    <w:p w14:paraId="46FE64C2" w14:textId="77777777" w:rsidR="00000000" w:rsidRDefault="004579E0">
      <w:pPr>
        <w:pStyle w:val="NormalWeb"/>
        <w:shd w:val="clear" w:color="auto" w:fill="FFFFFF"/>
        <w:spacing w:before="0" w:beforeAutospacing="0" w:after="0" w:afterAutospacing="0"/>
        <w:jc w:val="both"/>
        <w:divId w:val="1472868164"/>
        <w:rPr>
          <w:sz w:val="20"/>
          <w:szCs w:val="20"/>
        </w:rPr>
      </w:pPr>
      <w:r>
        <w:rPr>
          <w:sz w:val="20"/>
          <w:szCs w:val="20"/>
        </w:rPr>
        <w:lastRenderedPageBreak/>
        <w:t> </w:t>
      </w:r>
    </w:p>
    <w:p w14:paraId="286C37A0" w14:textId="77777777" w:rsidR="00000000" w:rsidRDefault="004579E0">
      <w:pPr>
        <w:pStyle w:val="NormalWeb"/>
        <w:spacing w:before="0" w:beforeAutospacing="0" w:after="0" w:afterAutospacing="0"/>
        <w:jc w:val="both"/>
        <w:divId w:val="1472868164"/>
        <w:rPr>
          <w:sz w:val="20"/>
          <w:szCs w:val="20"/>
        </w:rPr>
      </w:pPr>
      <w:r>
        <w:rPr>
          <w:b/>
          <w:bCs/>
          <w:sz w:val="20"/>
          <w:szCs w:val="20"/>
        </w:rPr>
        <w:t>Key Financial Highlights for the Three Months Ended June 30, 2022 compared to Three Months End</w:t>
      </w:r>
      <w:r>
        <w:rPr>
          <w:b/>
          <w:bCs/>
          <w:sz w:val="20"/>
          <w:szCs w:val="20"/>
        </w:rPr>
        <w:t>ed June 30, 2021</w:t>
      </w:r>
    </w:p>
    <w:p w14:paraId="5A9EC419" w14:textId="77777777" w:rsidR="00000000" w:rsidRDefault="004579E0">
      <w:pPr>
        <w:pStyle w:val="NormalWeb"/>
        <w:shd w:val="clear" w:color="auto" w:fill="FFFFFF"/>
        <w:spacing w:before="0" w:beforeAutospacing="0" w:after="0" w:afterAutospacing="0"/>
        <w:ind w:left="450"/>
        <w:jc w:val="both"/>
        <w:divId w:val="147286816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60"/>
        <w:gridCol w:w="360"/>
        <w:gridCol w:w="8640"/>
      </w:tblGrid>
      <w:tr w:rsidR="00000000" w14:paraId="4286AAD9" w14:textId="77777777">
        <w:trPr>
          <w:divId w:val="1472868164"/>
        </w:trPr>
        <w:tc>
          <w:tcPr>
            <w:tcW w:w="360" w:type="dxa"/>
            <w:hideMark/>
          </w:tcPr>
          <w:p w14:paraId="17D5DE28" w14:textId="77777777" w:rsidR="00000000" w:rsidRDefault="004579E0">
            <w:pPr>
              <w:rPr>
                <w:rFonts w:eastAsia="Times New Roman"/>
                <w:sz w:val="20"/>
                <w:szCs w:val="20"/>
              </w:rPr>
            </w:pPr>
            <w:r>
              <w:rPr>
                <w:rFonts w:eastAsia="Times New Roman"/>
                <w:sz w:val="20"/>
                <w:szCs w:val="20"/>
              </w:rPr>
              <w:t> </w:t>
            </w:r>
          </w:p>
        </w:tc>
        <w:tc>
          <w:tcPr>
            <w:tcW w:w="360" w:type="dxa"/>
            <w:hideMark/>
          </w:tcPr>
          <w:p w14:paraId="02B86DAA" w14:textId="77777777" w:rsidR="00000000" w:rsidRDefault="004579E0">
            <w:pPr>
              <w:rPr>
                <w:rFonts w:eastAsia="Times New Roman"/>
                <w:sz w:val="20"/>
                <w:szCs w:val="20"/>
              </w:rPr>
            </w:pPr>
            <w:r>
              <w:rPr>
                <w:rFonts w:eastAsia="Times New Roman"/>
                <w:sz w:val="20"/>
                <w:szCs w:val="20"/>
              </w:rPr>
              <w:t>●</w:t>
            </w:r>
          </w:p>
        </w:tc>
        <w:tc>
          <w:tcPr>
            <w:tcW w:w="0" w:type="auto"/>
            <w:hideMark/>
          </w:tcPr>
          <w:p w14:paraId="7853D105" w14:textId="77777777" w:rsidR="00000000" w:rsidRDefault="004579E0">
            <w:pPr>
              <w:jc w:val="both"/>
              <w:rPr>
                <w:rFonts w:eastAsia="Times New Roman"/>
                <w:sz w:val="20"/>
                <w:szCs w:val="20"/>
              </w:rPr>
            </w:pPr>
            <w:r>
              <w:rPr>
                <w:rFonts w:eastAsia="Times New Roman"/>
                <w:sz w:val="20"/>
                <w:szCs w:val="20"/>
              </w:rPr>
              <w:t>Revenue increased 4% to approximately $10.0 million</w:t>
            </w:r>
          </w:p>
        </w:tc>
      </w:tr>
      <w:tr w:rsidR="00000000" w14:paraId="729CAB87" w14:textId="77777777">
        <w:trPr>
          <w:divId w:val="1472868164"/>
        </w:trPr>
        <w:tc>
          <w:tcPr>
            <w:tcW w:w="0" w:type="auto"/>
            <w:hideMark/>
          </w:tcPr>
          <w:p w14:paraId="43552551" w14:textId="77777777" w:rsidR="00000000" w:rsidRDefault="004579E0">
            <w:pPr>
              <w:rPr>
                <w:rFonts w:eastAsia="Times New Roman"/>
                <w:sz w:val="20"/>
                <w:szCs w:val="20"/>
              </w:rPr>
            </w:pPr>
            <w:r>
              <w:rPr>
                <w:rFonts w:eastAsia="Times New Roman"/>
                <w:sz w:val="20"/>
                <w:szCs w:val="20"/>
              </w:rPr>
              <w:t> </w:t>
            </w:r>
          </w:p>
        </w:tc>
        <w:tc>
          <w:tcPr>
            <w:tcW w:w="0" w:type="auto"/>
            <w:hideMark/>
          </w:tcPr>
          <w:p w14:paraId="34857024" w14:textId="77777777" w:rsidR="00000000" w:rsidRDefault="004579E0">
            <w:pPr>
              <w:rPr>
                <w:rFonts w:eastAsia="Times New Roman"/>
                <w:sz w:val="20"/>
                <w:szCs w:val="20"/>
              </w:rPr>
            </w:pPr>
            <w:r>
              <w:rPr>
                <w:rFonts w:eastAsia="Times New Roman"/>
                <w:sz w:val="20"/>
                <w:szCs w:val="20"/>
              </w:rPr>
              <w:t>●</w:t>
            </w:r>
          </w:p>
        </w:tc>
        <w:tc>
          <w:tcPr>
            <w:tcW w:w="0" w:type="auto"/>
            <w:hideMark/>
          </w:tcPr>
          <w:p w14:paraId="7E2BD523" w14:textId="77777777" w:rsidR="00000000" w:rsidRDefault="004579E0">
            <w:pPr>
              <w:jc w:val="both"/>
              <w:rPr>
                <w:rFonts w:eastAsia="Times New Roman"/>
                <w:sz w:val="20"/>
                <w:szCs w:val="20"/>
              </w:rPr>
            </w:pPr>
            <w:r>
              <w:rPr>
                <w:rFonts w:eastAsia="Times New Roman"/>
                <w:sz w:val="20"/>
                <w:szCs w:val="20"/>
              </w:rPr>
              <w:t>Prescription revenue increased 13% to almost $9.3 million</w:t>
            </w:r>
          </w:p>
        </w:tc>
      </w:tr>
      <w:tr w:rsidR="00000000" w14:paraId="29AEBAEB" w14:textId="77777777">
        <w:trPr>
          <w:divId w:val="1472868164"/>
        </w:trPr>
        <w:tc>
          <w:tcPr>
            <w:tcW w:w="0" w:type="auto"/>
            <w:hideMark/>
          </w:tcPr>
          <w:p w14:paraId="7F6D5825" w14:textId="77777777" w:rsidR="00000000" w:rsidRDefault="004579E0">
            <w:pPr>
              <w:rPr>
                <w:rFonts w:eastAsia="Times New Roman"/>
                <w:sz w:val="20"/>
                <w:szCs w:val="20"/>
              </w:rPr>
            </w:pPr>
            <w:r>
              <w:rPr>
                <w:rFonts w:eastAsia="Times New Roman"/>
                <w:sz w:val="20"/>
                <w:szCs w:val="20"/>
              </w:rPr>
              <w:t> </w:t>
            </w:r>
          </w:p>
        </w:tc>
        <w:tc>
          <w:tcPr>
            <w:tcW w:w="0" w:type="auto"/>
            <w:hideMark/>
          </w:tcPr>
          <w:p w14:paraId="20DB7842" w14:textId="77777777" w:rsidR="00000000" w:rsidRDefault="004579E0">
            <w:pPr>
              <w:rPr>
                <w:rFonts w:eastAsia="Times New Roman"/>
                <w:sz w:val="20"/>
                <w:szCs w:val="20"/>
              </w:rPr>
            </w:pPr>
            <w:r>
              <w:rPr>
                <w:rFonts w:eastAsia="Times New Roman"/>
                <w:sz w:val="20"/>
                <w:szCs w:val="20"/>
              </w:rPr>
              <w:t>●</w:t>
            </w:r>
          </w:p>
        </w:tc>
        <w:tc>
          <w:tcPr>
            <w:tcW w:w="0" w:type="auto"/>
            <w:hideMark/>
          </w:tcPr>
          <w:p w14:paraId="1EA13659" w14:textId="77777777" w:rsidR="00000000" w:rsidRDefault="004579E0">
            <w:pPr>
              <w:jc w:val="both"/>
              <w:rPr>
                <w:rFonts w:eastAsia="Times New Roman"/>
                <w:sz w:val="20"/>
                <w:szCs w:val="20"/>
              </w:rPr>
            </w:pPr>
            <w:r>
              <w:rPr>
                <w:rFonts w:eastAsia="Times New Roman"/>
                <w:sz w:val="20"/>
                <w:szCs w:val="20"/>
              </w:rPr>
              <w:t>Operating loss remained flat at $0.2 million</w:t>
            </w:r>
          </w:p>
        </w:tc>
      </w:tr>
      <w:tr w:rsidR="00000000" w14:paraId="51061EC9" w14:textId="77777777">
        <w:trPr>
          <w:divId w:val="1472868164"/>
        </w:trPr>
        <w:tc>
          <w:tcPr>
            <w:tcW w:w="0" w:type="auto"/>
            <w:hideMark/>
          </w:tcPr>
          <w:p w14:paraId="2F4580E5" w14:textId="77777777" w:rsidR="00000000" w:rsidRDefault="004579E0">
            <w:pPr>
              <w:rPr>
                <w:rFonts w:eastAsia="Times New Roman"/>
                <w:sz w:val="20"/>
                <w:szCs w:val="20"/>
              </w:rPr>
            </w:pPr>
            <w:r>
              <w:rPr>
                <w:rFonts w:eastAsia="Times New Roman"/>
                <w:sz w:val="20"/>
                <w:szCs w:val="20"/>
              </w:rPr>
              <w:t> </w:t>
            </w:r>
          </w:p>
        </w:tc>
        <w:tc>
          <w:tcPr>
            <w:tcW w:w="0" w:type="auto"/>
            <w:hideMark/>
          </w:tcPr>
          <w:p w14:paraId="186E9B86" w14:textId="77777777" w:rsidR="00000000" w:rsidRDefault="004579E0">
            <w:pPr>
              <w:rPr>
                <w:rFonts w:eastAsia="Times New Roman"/>
                <w:sz w:val="20"/>
                <w:szCs w:val="20"/>
              </w:rPr>
            </w:pPr>
            <w:r>
              <w:rPr>
                <w:rFonts w:eastAsia="Times New Roman"/>
                <w:sz w:val="20"/>
                <w:szCs w:val="20"/>
              </w:rPr>
              <w:t>●</w:t>
            </w:r>
          </w:p>
        </w:tc>
        <w:tc>
          <w:tcPr>
            <w:tcW w:w="0" w:type="auto"/>
            <w:hideMark/>
          </w:tcPr>
          <w:p w14:paraId="66511E59" w14:textId="77777777" w:rsidR="00000000" w:rsidRDefault="004579E0">
            <w:pPr>
              <w:jc w:val="both"/>
              <w:rPr>
                <w:rFonts w:eastAsia="Times New Roman"/>
                <w:sz w:val="20"/>
                <w:szCs w:val="20"/>
              </w:rPr>
            </w:pPr>
            <w:r>
              <w:rPr>
                <w:rFonts w:eastAsia="Times New Roman"/>
                <w:sz w:val="20"/>
                <w:szCs w:val="20"/>
              </w:rPr>
              <w:t>Cash balance of $2.2 million</w:t>
            </w:r>
          </w:p>
        </w:tc>
      </w:tr>
    </w:tbl>
    <w:p w14:paraId="72D7F8C8" w14:textId="77777777" w:rsidR="00000000" w:rsidRDefault="004579E0">
      <w:pPr>
        <w:pStyle w:val="NormalWeb"/>
        <w:shd w:val="clear" w:color="auto" w:fill="FFFFFF"/>
        <w:spacing w:before="0" w:beforeAutospacing="0" w:after="0" w:afterAutospacing="0"/>
        <w:divId w:val="1472868164"/>
        <w:rPr>
          <w:sz w:val="20"/>
          <w:szCs w:val="20"/>
        </w:rPr>
      </w:pPr>
      <w:r>
        <w:rPr>
          <w:sz w:val="20"/>
          <w:szCs w:val="20"/>
        </w:rPr>
        <w:t> </w:t>
      </w:r>
    </w:p>
    <w:p w14:paraId="627002D8" w14:textId="77777777" w:rsidR="00000000" w:rsidRDefault="004579E0">
      <w:pPr>
        <w:pStyle w:val="NormalWeb"/>
        <w:shd w:val="clear" w:color="auto" w:fill="FFFFFF"/>
        <w:spacing w:before="0" w:beforeAutospacing="0" w:after="0" w:afterAutospacing="0"/>
        <w:jc w:val="both"/>
        <w:divId w:val="1472868164"/>
        <w:rPr>
          <w:sz w:val="20"/>
          <w:szCs w:val="20"/>
        </w:rPr>
      </w:pPr>
      <w:r>
        <w:rPr>
          <w:b/>
          <w:bCs/>
          <w:sz w:val="20"/>
          <w:szCs w:val="20"/>
        </w:rPr>
        <w:t xml:space="preserve">Business </w:t>
      </w:r>
      <w:r>
        <w:rPr>
          <w:b/>
          <w:bCs/>
          <w:sz w:val="20"/>
          <w:szCs w:val="20"/>
        </w:rPr>
        <w:t>Highlights for the Three Months Ended June 30, 2022</w:t>
      </w:r>
    </w:p>
    <w:p w14:paraId="7E2A11C6" w14:textId="77777777" w:rsidR="00000000" w:rsidRDefault="004579E0">
      <w:pPr>
        <w:pStyle w:val="NormalWeb"/>
        <w:shd w:val="clear" w:color="auto" w:fill="FFFFFF"/>
        <w:spacing w:before="0" w:beforeAutospacing="0" w:after="0" w:afterAutospacing="0"/>
        <w:jc w:val="both"/>
        <w:divId w:val="1472868164"/>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360"/>
        <w:gridCol w:w="360"/>
        <w:gridCol w:w="8640"/>
      </w:tblGrid>
      <w:tr w:rsidR="00000000" w14:paraId="16DF14F5" w14:textId="77777777">
        <w:trPr>
          <w:divId w:val="1472868164"/>
        </w:trPr>
        <w:tc>
          <w:tcPr>
            <w:tcW w:w="360" w:type="dxa"/>
            <w:hideMark/>
          </w:tcPr>
          <w:p w14:paraId="2EF8DC0E" w14:textId="77777777" w:rsidR="00000000" w:rsidRDefault="004579E0">
            <w:pPr>
              <w:rPr>
                <w:rFonts w:eastAsia="Times New Roman"/>
                <w:sz w:val="20"/>
                <w:szCs w:val="20"/>
              </w:rPr>
            </w:pPr>
            <w:r>
              <w:rPr>
                <w:rFonts w:eastAsia="Times New Roman"/>
                <w:sz w:val="20"/>
                <w:szCs w:val="20"/>
              </w:rPr>
              <w:t> </w:t>
            </w:r>
          </w:p>
        </w:tc>
        <w:tc>
          <w:tcPr>
            <w:tcW w:w="360" w:type="dxa"/>
            <w:hideMark/>
          </w:tcPr>
          <w:p w14:paraId="1C1EDA22" w14:textId="77777777" w:rsidR="00000000" w:rsidRDefault="004579E0">
            <w:pPr>
              <w:rPr>
                <w:rFonts w:eastAsia="Times New Roman"/>
                <w:sz w:val="20"/>
                <w:szCs w:val="20"/>
              </w:rPr>
            </w:pPr>
            <w:r>
              <w:rPr>
                <w:rFonts w:eastAsia="Times New Roman"/>
                <w:sz w:val="20"/>
                <w:szCs w:val="20"/>
              </w:rPr>
              <w:t>●</w:t>
            </w:r>
          </w:p>
        </w:tc>
        <w:tc>
          <w:tcPr>
            <w:tcW w:w="0" w:type="auto"/>
            <w:hideMark/>
          </w:tcPr>
          <w:p w14:paraId="66A3040B" w14:textId="77777777" w:rsidR="00000000" w:rsidRDefault="004579E0">
            <w:pPr>
              <w:jc w:val="both"/>
              <w:rPr>
                <w:rFonts w:eastAsia="Times New Roman"/>
                <w:sz w:val="20"/>
                <w:szCs w:val="20"/>
              </w:rPr>
            </w:pPr>
            <w:r>
              <w:rPr>
                <w:rFonts w:eastAsia="Times New Roman"/>
                <w:sz w:val="20"/>
                <w:szCs w:val="20"/>
              </w:rPr>
              <w:t>Gained SEC reporting status</w:t>
            </w:r>
          </w:p>
        </w:tc>
      </w:tr>
      <w:tr w:rsidR="00000000" w14:paraId="67E85381" w14:textId="77777777">
        <w:trPr>
          <w:divId w:val="1472868164"/>
        </w:trPr>
        <w:tc>
          <w:tcPr>
            <w:tcW w:w="0" w:type="auto"/>
            <w:hideMark/>
          </w:tcPr>
          <w:p w14:paraId="0733B141" w14:textId="77777777" w:rsidR="00000000" w:rsidRDefault="004579E0">
            <w:pPr>
              <w:rPr>
                <w:rFonts w:eastAsia="Times New Roman"/>
                <w:sz w:val="20"/>
                <w:szCs w:val="20"/>
              </w:rPr>
            </w:pPr>
            <w:r>
              <w:rPr>
                <w:rFonts w:eastAsia="Times New Roman"/>
                <w:sz w:val="20"/>
                <w:szCs w:val="20"/>
              </w:rPr>
              <w:t> </w:t>
            </w:r>
          </w:p>
        </w:tc>
        <w:tc>
          <w:tcPr>
            <w:tcW w:w="0" w:type="auto"/>
            <w:hideMark/>
          </w:tcPr>
          <w:p w14:paraId="6523D192" w14:textId="77777777" w:rsidR="00000000" w:rsidRDefault="004579E0">
            <w:pPr>
              <w:rPr>
                <w:rFonts w:eastAsia="Times New Roman"/>
                <w:sz w:val="20"/>
                <w:szCs w:val="20"/>
              </w:rPr>
            </w:pPr>
            <w:r>
              <w:rPr>
                <w:rFonts w:eastAsia="Times New Roman"/>
                <w:sz w:val="20"/>
                <w:szCs w:val="20"/>
              </w:rPr>
              <w:t>●</w:t>
            </w:r>
          </w:p>
        </w:tc>
        <w:tc>
          <w:tcPr>
            <w:tcW w:w="0" w:type="auto"/>
            <w:hideMark/>
          </w:tcPr>
          <w:p w14:paraId="2A2BA867" w14:textId="77777777" w:rsidR="00000000" w:rsidRDefault="004579E0">
            <w:pPr>
              <w:jc w:val="both"/>
              <w:rPr>
                <w:rFonts w:eastAsia="Times New Roman"/>
                <w:sz w:val="20"/>
                <w:szCs w:val="20"/>
              </w:rPr>
            </w:pPr>
            <w:r>
              <w:rPr>
                <w:rFonts w:eastAsia="Times New Roman"/>
                <w:sz w:val="20"/>
                <w:szCs w:val="20"/>
              </w:rPr>
              <w:t xml:space="preserve">Expansion </w:t>
            </w:r>
            <w:r>
              <w:rPr>
                <w:rFonts w:eastAsia="Times New Roman"/>
                <w:sz w:val="20"/>
                <w:szCs w:val="20"/>
              </w:rPr>
              <w:t>into rapidly growing chronic care management and remote patient monitoring markets</w:t>
            </w:r>
          </w:p>
        </w:tc>
      </w:tr>
    </w:tbl>
    <w:p w14:paraId="56D85EC4" w14:textId="77777777" w:rsidR="00000000" w:rsidRDefault="004579E0">
      <w:pPr>
        <w:pStyle w:val="NormalWeb"/>
        <w:shd w:val="clear" w:color="auto" w:fill="FFFFFF"/>
        <w:spacing w:before="0" w:beforeAutospacing="0" w:after="0" w:afterAutospacing="0"/>
        <w:jc w:val="both"/>
        <w:divId w:val="1472868164"/>
        <w:rPr>
          <w:sz w:val="20"/>
          <w:szCs w:val="20"/>
        </w:rPr>
      </w:pPr>
      <w:r>
        <w:rPr>
          <w:b/>
          <w:bCs/>
          <w:sz w:val="20"/>
          <w:szCs w:val="20"/>
        </w:rPr>
        <w:t> </w:t>
      </w:r>
    </w:p>
    <w:p w14:paraId="45B87C6A" w14:textId="77777777" w:rsidR="00000000" w:rsidRDefault="004579E0">
      <w:pPr>
        <w:pStyle w:val="NormalWeb"/>
        <w:shd w:val="clear" w:color="auto" w:fill="FFFFFF"/>
        <w:spacing w:before="0" w:beforeAutospacing="0" w:after="0" w:afterAutospacing="0"/>
        <w:jc w:val="both"/>
        <w:divId w:val="1472868164"/>
        <w:rPr>
          <w:sz w:val="20"/>
          <w:szCs w:val="20"/>
        </w:rPr>
      </w:pPr>
      <w:r>
        <w:rPr>
          <w:b/>
          <w:bCs/>
          <w:sz w:val="20"/>
          <w:szCs w:val="20"/>
        </w:rPr>
        <w:t>Summary Financials for the Three Months Ended June 30, 2022, as Compared with the Three Months Ended June 30, 2021</w:t>
      </w:r>
    </w:p>
    <w:p w14:paraId="5189C7F9" w14:textId="77777777" w:rsidR="00000000" w:rsidRDefault="004579E0">
      <w:pPr>
        <w:pStyle w:val="NormalWeb"/>
        <w:spacing w:before="0" w:beforeAutospacing="0" w:after="0" w:afterAutospacing="0"/>
        <w:jc w:val="both"/>
        <w:divId w:val="147286816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5614"/>
        <w:gridCol w:w="185"/>
        <w:gridCol w:w="100"/>
        <w:gridCol w:w="1496"/>
        <w:gridCol w:w="92"/>
        <w:gridCol w:w="185"/>
        <w:gridCol w:w="100"/>
        <w:gridCol w:w="1496"/>
        <w:gridCol w:w="92"/>
      </w:tblGrid>
      <w:tr w:rsidR="00000000" w14:paraId="648A7CDD" w14:textId="77777777">
        <w:trPr>
          <w:divId w:val="1472868164"/>
        </w:trPr>
        <w:tc>
          <w:tcPr>
            <w:tcW w:w="0" w:type="auto"/>
            <w:tcMar>
              <w:top w:w="0" w:type="dxa"/>
              <w:left w:w="0" w:type="dxa"/>
              <w:bottom w:w="30" w:type="dxa"/>
              <w:right w:w="0" w:type="dxa"/>
            </w:tcMar>
            <w:vAlign w:val="bottom"/>
            <w:hideMark/>
          </w:tcPr>
          <w:p w14:paraId="2DC970A7" w14:textId="77777777" w:rsidR="00000000" w:rsidRDefault="004579E0">
            <w:pPr>
              <w:jc w:val="center"/>
              <w:rPr>
                <w:rFonts w:eastAsia="Times New Roman"/>
                <w:sz w:val="20"/>
                <w:szCs w:val="20"/>
              </w:rPr>
            </w:pPr>
            <w:r>
              <w:rPr>
                <w:rFonts w:eastAsia="Times New Roman"/>
                <w:sz w:val="20"/>
                <w:szCs w:val="20"/>
              </w:rPr>
              <w:t> </w:t>
            </w:r>
          </w:p>
        </w:tc>
        <w:tc>
          <w:tcPr>
            <w:tcW w:w="0" w:type="auto"/>
            <w:tcMar>
              <w:top w:w="0" w:type="dxa"/>
              <w:left w:w="0" w:type="dxa"/>
              <w:bottom w:w="30" w:type="dxa"/>
              <w:right w:w="0" w:type="dxa"/>
            </w:tcMar>
            <w:vAlign w:val="bottom"/>
            <w:hideMark/>
          </w:tcPr>
          <w:p w14:paraId="23F37E4D" w14:textId="77777777" w:rsidR="00000000" w:rsidRDefault="004579E0">
            <w:pPr>
              <w:rPr>
                <w:rFonts w:eastAsia="Times New Roman"/>
                <w:b/>
                <w:bCs/>
                <w:sz w:val="20"/>
                <w:szCs w:val="20"/>
              </w:rPr>
            </w:pPr>
            <w:r>
              <w:rPr>
                <w:rFonts w:eastAsia="Times New Roman"/>
                <w:b/>
                <w:bCs/>
                <w:sz w:val="20"/>
                <w:szCs w:val="20"/>
              </w:rPr>
              <w:t> </w:t>
            </w:r>
          </w:p>
        </w:tc>
        <w:tc>
          <w:tcPr>
            <w:tcW w:w="0" w:type="auto"/>
            <w:gridSpan w:val="6"/>
            <w:tcBorders>
              <w:bottom w:val="single" w:sz="12" w:space="0" w:color="000000"/>
            </w:tcBorders>
            <w:vAlign w:val="bottom"/>
            <w:hideMark/>
          </w:tcPr>
          <w:p w14:paraId="4F411C53" w14:textId="77777777" w:rsidR="00000000" w:rsidRDefault="004579E0">
            <w:pPr>
              <w:jc w:val="center"/>
              <w:rPr>
                <w:rFonts w:eastAsia="Times New Roman"/>
                <w:b/>
                <w:bCs/>
                <w:sz w:val="20"/>
                <w:szCs w:val="20"/>
              </w:rPr>
            </w:pPr>
            <w:r>
              <w:rPr>
                <w:rFonts w:eastAsia="Times New Roman"/>
                <w:b/>
                <w:bCs/>
                <w:sz w:val="20"/>
                <w:szCs w:val="20"/>
              </w:rPr>
              <w:t>For the Three Months Ended June 30,</w:t>
            </w:r>
          </w:p>
        </w:tc>
        <w:tc>
          <w:tcPr>
            <w:tcW w:w="0" w:type="auto"/>
            <w:tcMar>
              <w:top w:w="0" w:type="dxa"/>
              <w:left w:w="0" w:type="dxa"/>
              <w:bottom w:w="30" w:type="dxa"/>
              <w:right w:w="0" w:type="dxa"/>
            </w:tcMar>
            <w:vAlign w:val="bottom"/>
            <w:hideMark/>
          </w:tcPr>
          <w:p w14:paraId="0FE87984" w14:textId="77777777" w:rsidR="00000000" w:rsidRDefault="004579E0">
            <w:pPr>
              <w:rPr>
                <w:rFonts w:eastAsia="Times New Roman"/>
                <w:b/>
                <w:bCs/>
                <w:sz w:val="20"/>
                <w:szCs w:val="20"/>
              </w:rPr>
            </w:pPr>
            <w:r>
              <w:rPr>
                <w:rFonts w:eastAsia="Times New Roman"/>
                <w:b/>
                <w:bCs/>
                <w:sz w:val="20"/>
                <w:szCs w:val="20"/>
              </w:rPr>
              <w:t> </w:t>
            </w:r>
          </w:p>
        </w:tc>
      </w:tr>
      <w:tr w:rsidR="00000000" w14:paraId="2FBF9C3F" w14:textId="77777777">
        <w:trPr>
          <w:divId w:val="1472868164"/>
        </w:trPr>
        <w:tc>
          <w:tcPr>
            <w:tcW w:w="0" w:type="auto"/>
            <w:vAlign w:val="bottom"/>
            <w:hideMark/>
          </w:tcPr>
          <w:p w14:paraId="2FE5282A" w14:textId="77777777" w:rsidR="00000000" w:rsidRDefault="004579E0">
            <w:pPr>
              <w:jc w:val="center"/>
              <w:rPr>
                <w:rFonts w:eastAsia="Times New Roman"/>
                <w:sz w:val="20"/>
                <w:szCs w:val="20"/>
              </w:rPr>
            </w:pPr>
            <w:r>
              <w:rPr>
                <w:rFonts w:eastAsia="Times New Roman"/>
                <w:sz w:val="20"/>
                <w:szCs w:val="20"/>
              </w:rPr>
              <w:t> </w:t>
            </w:r>
          </w:p>
        </w:tc>
        <w:tc>
          <w:tcPr>
            <w:tcW w:w="0" w:type="auto"/>
            <w:tcMar>
              <w:top w:w="0" w:type="dxa"/>
              <w:left w:w="0" w:type="dxa"/>
              <w:bottom w:w="30" w:type="dxa"/>
              <w:right w:w="0" w:type="dxa"/>
            </w:tcMar>
            <w:vAlign w:val="bottom"/>
            <w:hideMark/>
          </w:tcPr>
          <w:p w14:paraId="0542B318" w14:textId="77777777" w:rsidR="00000000" w:rsidRDefault="004579E0">
            <w:pPr>
              <w:rPr>
                <w:rFonts w:eastAsia="Times New Roman"/>
                <w:b/>
                <w:bCs/>
                <w:sz w:val="20"/>
                <w:szCs w:val="20"/>
              </w:rPr>
            </w:pPr>
            <w:r>
              <w:rPr>
                <w:rFonts w:eastAsia="Times New Roman"/>
                <w:b/>
                <w:bCs/>
                <w:sz w:val="20"/>
                <w:szCs w:val="20"/>
              </w:rPr>
              <w:t> </w:t>
            </w:r>
          </w:p>
        </w:tc>
        <w:tc>
          <w:tcPr>
            <w:tcW w:w="0" w:type="auto"/>
            <w:gridSpan w:val="2"/>
            <w:tcBorders>
              <w:bottom w:val="single" w:sz="12" w:space="0" w:color="000000"/>
            </w:tcBorders>
            <w:vAlign w:val="bottom"/>
            <w:hideMark/>
          </w:tcPr>
          <w:p w14:paraId="6ADD5F68" w14:textId="77777777" w:rsidR="00000000" w:rsidRDefault="004579E0">
            <w:pPr>
              <w:jc w:val="center"/>
              <w:rPr>
                <w:rFonts w:eastAsia="Times New Roman"/>
                <w:b/>
                <w:bCs/>
                <w:sz w:val="20"/>
                <w:szCs w:val="20"/>
              </w:rPr>
            </w:pPr>
            <w:r>
              <w:rPr>
                <w:rFonts w:eastAsia="Times New Roman"/>
                <w:b/>
                <w:bCs/>
                <w:sz w:val="20"/>
                <w:szCs w:val="20"/>
              </w:rPr>
              <w:t>2022</w:t>
            </w:r>
          </w:p>
        </w:tc>
        <w:tc>
          <w:tcPr>
            <w:tcW w:w="0" w:type="auto"/>
            <w:tcMar>
              <w:top w:w="0" w:type="dxa"/>
              <w:left w:w="0" w:type="dxa"/>
              <w:bottom w:w="30" w:type="dxa"/>
              <w:right w:w="0" w:type="dxa"/>
            </w:tcMar>
            <w:vAlign w:val="bottom"/>
            <w:hideMark/>
          </w:tcPr>
          <w:p w14:paraId="49A201C1" w14:textId="77777777" w:rsidR="00000000" w:rsidRDefault="004579E0">
            <w:pPr>
              <w:rPr>
                <w:rFonts w:eastAsia="Times New Roman"/>
                <w:b/>
                <w:bCs/>
                <w:sz w:val="20"/>
                <w:szCs w:val="20"/>
              </w:rPr>
            </w:pPr>
            <w:r>
              <w:rPr>
                <w:rFonts w:eastAsia="Times New Roman"/>
                <w:b/>
                <w:bCs/>
                <w:sz w:val="20"/>
                <w:szCs w:val="20"/>
              </w:rPr>
              <w:t> </w:t>
            </w:r>
          </w:p>
        </w:tc>
        <w:tc>
          <w:tcPr>
            <w:tcW w:w="0" w:type="auto"/>
            <w:tcMar>
              <w:top w:w="0" w:type="dxa"/>
              <w:left w:w="0" w:type="dxa"/>
              <w:bottom w:w="30" w:type="dxa"/>
              <w:right w:w="0" w:type="dxa"/>
            </w:tcMar>
            <w:vAlign w:val="bottom"/>
            <w:hideMark/>
          </w:tcPr>
          <w:p w14:paraId="672A3562" w14:textId="77777777" w:rsidR="00000000" w:rsidRDefault="004579E0">
            <w:pPr>
              <w:rPr>
                <w:rFonts w:eastAsia="Times New Roman"/>
                <w:b/>
                <w:bCs/>
                <w:sz w:val="20"/>
                <w:szCs w:val="20"/>
              </w:rPr>
            </w:pPr>
            <w:r>
              <w:rPr>
                <w:rFonts w:eastAsia="Times New Roman"/>
                <w:b/>
                <w:bCs/>
                <w:sz w:val="20"/>
                <w:szCs w:val="20"/>
              </w:rPr>
              <w:t> </w:t>
            </w:r>
          </w:p>
        </w:tc>
        <w:tc>
          <w:tcPr>
            <w:tcW w:w="0" w:type="auto"/>
            <w:gridSpan w:val="2"/>
            <w:tcBorders>
              <w:bottom w:val="single" w:sz="12" w:space="0" w:color="000000"/>
            </w:tcBorders>
            <w:vAlign w:val="bottom"/>
            <w:hideMark/>
          </w:tcPr>
          <w:p w14:paraId="594EDC7F" w14:textId="77777777" w:rsidR="00000000" w:rsidRDefault="004579E0">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30" w:type="dxa"/>
              <w:right w:w="0" w:type="dxa"/>
            </w:tcMar>
            <w:vAlign w:val="bottom"/>
            <w:hideMark/>
          </w:tcPr>
          <w:p w14:paraId="416DE38E" w14:textId="77777777" w:rsidR="00000000" w:rsidRDefault="004579E0">
            <w:pPr>
              <w:rPr>
                <w:rFonts w:eastAsia="Times New Roman"/>
                <w:b/>
                <w:bCs/>
                <w:sz w:val="20"/>
                <w:szCs w:val="20"/>
              </w:rPr>
            </w:pPr>
            <w:r>
              <w:rPr>
                <w:rFonts w:eastAsia="Times New Roman"/>
                <w:b/>
                <w:bCs/>
                <w:sz w:val="20"/>
                <w:szCs w:val="20"/>
              </w:rPr>
              <w:t> </w:t>
            </w:r>
          </w:p>
        </w:tc>
      </w:tr>
      <w:tr w:rsidR="00000000" w14:paraId="041728CB" w14:textId="77777777">
        <w:trPr>
          <w:divId w:val="1472868164"/>
        </w:trPr>
        <w:tc>
          <w:tcPr>
            <w:tcW w:w="3000" w:type="pct"/>
            <w:shd w:val="clear" w:color="auto" w:fill="CCEEFF"/>
            <w:vAlign w:val="bottom"/>
            <w:hideMark/>
          </w:tcPr>
          <w:p w14:paraId="64D9F8AC" w14:textId="77777777" w:rsidR="00000000" w:rsidRDefault="004579E0">
            <w:pPr>
              <w:rPr>
                <w:rFonts w:eastAsia="Times New Roman"/>
                <w:sz w:val="20"/>
                <w:szCs w:val="20"/>
              </w:rPr>
            </w:pPr>
            <w:r>
              <w:rPr>
                <w:rFonts w:eastAsia="Times New Roman"/>
                <w:sz w:val="20"/>
                <w:szCs w:val="20"/>
              </w:rPr>
              <w:t>Prescription revenue</w:t>
            </w:r>
          </w:p>
        </w:tc>
        <w:tc>
          <w:tcPr>
            <w:tcW w:w="100" w:type="pct"/>
            <w:shd w:val="clear" w:color="auto" w:fill="CCEEFF"/>
            <w:vAlign w:val="bottom"/>
            <w:hideMark/>
          </w:tcPr>
          <w:p w14:paraId="1925CBE2" w14:textId="77777777" w:rsidR="00000000" w:rsidRDefault="004579E0">
            <w:pPr>
              <w:rPr>
                <w:rFonts w:eastAsia="Times New Roman"/>
                <w:sz w:val="20"/>
                <w:szCs w:val="20"/>
              </w:rPr>
            </w:pPr>
            <w:r>
              <w:rPr>
                <w:rFonts w:eastAsia="Times New Roman"/>
                <w:sz w:val="20"/>
                <w:szCs w:val="20"/>
              </w:rPr>
              <w:t> </w:t>
            </w:r>
          </w:p>
        </w:tc>
        <w:tc>
          <w:tcPr>
            <w:tcW w:w="50" w:type="pct"/>
            <w:shd w:val="clear" w:color="auto" w:fill="CCEEFF"/>
            <w:vAlign w:val="bottom"/>
            <w:hideMark/>
          </w:tcPr>
          <w:p w14:paraId="5A0B5812" w14:textId="77777777" w:rsidR="00000000" w:rsidRDefault="004579E0">
            <w:pPr>
              <w:rPr>
                <w:rFonts w:eastAsia="Times New Roman"/>
                <w:sz w:val="20"/>
                <w:szCs w:val="20"/>
              </w:rPr>
            </w:pPr>
            <w:r>
              <w:rPr>
                <w:rFonts w:eastAsia="Times New Roman"/>
                <w:sz w:val="20"/>
                <w:szCs w:val="20"/>
              </w:rPr>
              <w:t>$</w:t>
            </w:r>
          </w:p>
        </w:tc>
        <w:tc>
          <w:tcPr>
            <w:tcW w:w="800" w:type="pct"/>
            <w:shd w:val="clear" w:color="auto" w:fill="CCEEFF"/>
            <w:vAlign w:val="bottom"/>
            <w:hideMark/>
          </w:tcPr>
          <w:p w14:paraId="003E8282" w14:textId="77777777" w:rsidR="00000000" w:rsidRDefault="004579E0">
            <w:pPr>
              <w:jc w:val="right"/>
              <w:rPr>
                <w:rFonts w:eastAsia="Times New Roman"/>
                <w:sz w:val="20"/>
                <w:szCs w:val="20"/>
              </w:rPr>
            </w:pPr>
            <w:r>
              <w:rPr>
                <w:rFonts w:eastAsia="Times New Roman"/>
                <w:sz w:val="20"/>
                <w:szCs w:val="20"/>
              </w:rPr>
              <w:t>9,275,774</w:t>
            </w:r>
          </w:p>
        </w:tc>
        <w:tc>
          <w:tcPr>
            <w:tcW w:w="50" w:type="pct"/>
            <w:shd w:val="clear" w:color="auto" w:fill="CCEEFF"/>
            <w:vAlign w:val="bottom"/>
            <w:hideMark/>
          </w:tcPr>
          <w:p w14:paraId="79217224" w14:textId="77777777" w:rsidR="00000000" w:rsidRDefault="004579E0">
            <w:pPr>
              <w:rPr>
                <w:rFonts w:eastAsia="Times New Roman"/>
                <w:sz w:val="20"/>
                <w:szCs w:val="20"/>
              </w:rPr>
            </w:pPr>
            <w:r>
              <w:rPr>
                <w:rFonts w:eastAsia="Times New Roman"/>
                <w:sz w:val="20"/>
                <w:szCs w:val="20"/>
              </w:rPr>
              <w:t> </w:t>
            </w:r>
          </w:p>
        </w:tc>
        <w:tc>
          <w:tcPr>
            <w:tcW w:w="100" w:type="pct"/>
            <w:shd w:val="clear" w:color="auto" w:fill="CCEEFF"/>
            <w:vAlign w:val="bottom"/>
            <w:hideMark/>
          </w:tcPr>
          <w:p w14:paraId="1324C2C6" w14:textId="77777777" w:rsidR="00000000" w:rsidRDefault="004579E0">
            <w:pPr>
              <w:rPr>
                <w:rFonts w:eastAsia="Times New Roman"/>
                <w:sz w:val="20"/>
                <w:szCs w:val="20"/>
              </w:rPr>
            </w:pPr>
            <w:r>
              <w:rPr>
                <w:rFonts w:eastAsia="Times New Roman"/>
                <w:sz w:val="20"/>
                <w:szCs w:val="20"/>
              </w:rPr>
              <w:t> </w:t>
            </w:r>
          </w:p>
        </w:tc>
        <w:tc>
          <w:tcPr>
            <w:tcW w:w="50" w:type="pct"/>
            <w:shd w:val="clear" w:color="auto" w:fill="CCEEFF"/>
            <w:vAlign w:val="bottom"/>
            <w:hideMark/>
          </w:tcPr>
          <w:p w14:paraId="0450D2D1" w14:textId="77777777" w:rsidR="00000000" w:rsidRDefault="004579E0">
            <w:pPr>
              <w:rPr>
                <w:rFonts w:eastAsia="Times New Roman"/>
                <w:sz w:val="20"/>
                <w:szCs w:val="20"/>
              </w:rPr>
            </w:pPr>
            <w:r>
              <w:rPr>
                <w:rFonts w:eastAsia="Times New Roman"/>
                <w:sz w:val="20"/>
                <w:szCs w:val="20"/>
              </w:rPr>
              <w:t>$</w:t>
            </w:r>
          </w:p>
        </w:tc>
        <w:tc>
          <w:tcPr>
            <w:tcW w:w="800" w:type="pct"/>
            <w:shd w:val="clear" w:color="auto" w:fill="CCEEFF"/>
            <w:vAlign w:val="bottom"/>
            <w:hideMark/>
          </w:tcPr>
          <w:p w14:paraId="2BB447D6" w14:textId="77777777" w:rsidR="00000000" w:rsidRDefault="004579E0">
            <w:pPr>
              <w:jc w:val="right"/>
              <w:rPr>
                <w:rFonts w:eastAsia="Times New Roman"/>
                <w:sz w:val="20"/>
                <w:szCs w:val="20"/>
              </w:rPr>
            </w:pPr>
            <w:r>
              <w:rPr>
                <w:rFonts w:eastAsia="Times New Roman"/>
                <w:sz w:val="20"/>
                <w:szCs w:val="20"/>
              </w:rPr>
              <w:t>8,172,840</w:t>
            </w:r>
          </w:p>
        </w:tc>
        <w:tc>
          <w:tcPr>
            <w:tcW w:w="50" w:type="pct"/>
            <w:shd w:val="clear" w:color="auto" w:fill="CCEEFF"/>
            <w:vAlign w:val="bottom"/>
            <w:hideMark/>
          </w:tcPr>
          <w:p w14:paraId="3E34A127" w14:textId="77777777" w:rsidR="00000000" w:rsidRDefault="004579E0">
            <w:pPr>
              <w:rPr>
                <w:rFonts w:eastAsia="Times New Roman"/>
                <w:sz w:val="20"/>
                <w:szCs w:val="20"/>
              </w:rPr>
            </w:pPr>
            <w:r>
              <w:rPr>
                <w:rFonts w:eastAsia="Times New Roman"/>
                <w:sz w:val="20"/>
                <w:szCs w:val="20"/>
              </w:rPr>
              <w:t> </w:t>
            </w:r>
          </w:p>
        </w:tc>
      </w:tr>
      <w:tr w:rsidR="00000000" w14:paraId="2D4E9D26" w14:textId="77777777">
        <w:trPr>
          <w:divId w:val="1472868164"/>
        </w:trPr>
        <w:tc>
          <w:tcPr>
            <w:tcW w:w="0" w:type="auto"/>
            <w:shd w:val="clear" w:color="auto" w:fill="FFFFFF"/>
            <w:vAlign w:val="bottom"/>
            <w:hideMark/>
          </w:tcPr>
          <w:p w14:paraId="07849C23" w14:textId="77777777" w:rsidR="00000000" w:rsidRDefault="004579E0">
            <w:pPr>
              <w:rPr>
                <w:rFonts w:eastAsia="Times New Roman"/>
                <w:sz w:val="20"/>
                <w:szCs w:val="20"/>
              </w:rPr>
            </w:pPr>
            <w:r>
              <w:rPr>
                <w:rFonts w:eastAsia="Times New Roman"/>
                <w:sz w:val="20"/>
                <w:szCs w:val="20"/>
              </w:rPr>
              <w:t>340B contract revenue</w:t>
            </w:r>
          </w:p>
        </w:tc>
        <w:tc>
          <w:tcPr>
            <w:tcW w:w="0" w:type="auto"/>
            <w:shd w:val="clear" w:color="auto" w:fill="FFFFFF"/>
            <w:vAlign w:val="bottom"/>
            <w:hideMark/>
          </w:tcPr>
          <w:p w14:paraId="05669A86" w14:textId="77777777" w:rsidR="00000000" w:rsidRDefault="004579E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C42B5CF" w14:textId="77777777" w:rsidR="00000000" w:rsidRDefault="004579E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645A9B4" w14:textId="77777777" w:rsidR="00000000" w:rsidRDefault="004579E0">
            <w:pPr>
              <w:jc w:val="right"/>
              <w:rPr>
                <w:rFonts w:eastAsia="Times New Roman"/>
                <w:sz w:val="20"/>
                <w:szCs w:val="20"/>
              </w:rPr>
            </w:pPr>
            <w:r>
              <w:rPr>
                <w:rFonts w:eastAsia="Times New Roman"/>
                <w:sz w:val="20"/>
                <w:szCs w:val="20"/>
              </w:rPr>
              <w:t>706,102</w:t>
            </w:r>
          </w:p>
        </w:tc>
        <w:tc>
          <w:tcPr>
            <w:tcW w:w="0" w:type="auto"/>
            <w:shd w:val="clear" w:color="auto" w:fill="FFFFFF"/>
            <w:vAlign w:val="bottom"/>
            <w:hideMark/>
          </w:tcPr>
          <w:p w14:paraId="298C40A0" w14:textId="77777777" w:rsidR="00000000" w:rsidRDefault="004579E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497F2A0" w14:textId="77777777" w:rsidR="00000000" w:rsidRDefault="004579E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44395F4" w14:textId="77777777" w:rsidR="00000000" w:rsidRDefault="004579E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FDC8376" w14:textId="77777777" w:rsidR="00000000" w:rsidRDefault="004579E0">
            <w:pPr>
              <w:jc w:val="right"/>
              <w:rPr>
                <w:rFonts w:eastAsia="Times New Roman"/>
                <w:sz w:val="20"/>
                <w:szCs w:val="20"/>
              </w:rPr>
            </w:pPr>
            <w:r>
              <w:rPr>
                <w:rFonts w:eastAsia="Times New Roman"/>
                <w:sz w:val="20"/>
                <w:szCs w:val="20"/>
              </w:rPr>
              <w:t>725,323</w:t>
            </w:r>
          </w:p>
        </w:tc>
        <w:tc>
          <w:tcPr>
            <w:tcW w:w="0" w:type="auto"/>
            <w:shd w:val="clear" w:color="auto" w:fill="FFFFFF"/>
            <w:vAlign w:val="bottom"/>
            <w:hideMark/>
          </w:tcPr>
          <w:p w14:paraId="09AC2D32" w14:textId="77777777" w:rsidR="00000000" w:rsidRDefault="004579E0">
            <w:pPr>
              <w:rPr>
                <w:rFonts w:eastAsia="Times New Roman"/>
                <w:sz w:val="20"/>
                <w:szCs w:val="20"/>
              </w:rPr>
            </w:pPr>
            <w:r>
              <w:rPr>
                <w:rFonts w:eastAsia="Times New Roman"/>
                <w:sz w:val="20"/>
                <w:szCs w:val="20"/>
              </w:rPr>
              <w:t> </w:t>
            </w:r>
          </w:p>
        </w:tc>
      </w:tr>
      <w:tr w:rsidR="00000000" w14:paraId="5A7374C6" w14:textId="77777777">
        <w:trPr>
          <w:divId w:val="1472868164"/>
        </w:trPr>
        <w:tc>
          <w:tcPr>
            <w:tcW w:w="0" w:type="auto"/>
            <w:shd w:val="clear" w:color="auto" w:fill="CCEEFF"/>
            <w:vAlign w:val="bottom"/>
            <w:hideMark/>
          </w:tcPr>
          <w:p w14:paraId="3BEF874F" w14:textId="77777777" w:rsidR="00000000" w:rsidRDefault="004579E0">
            <w:pPr>
              <w:rPr>
                <w:rFonts w:eastAsia="Times New Roman"/>
                <w:sz w:val="20"/>
                <w:szCs w:val="20"/>
              </w:rPr>
            </w:pPr>
            <w:r>
              <w:rPr>
                <w:rFonts w:eastAsia="Times New Roman"/>
                <w:sz w:val="20"/>
                <w:szCs w:val="20"/>
              </w:rPr>
              <w:t>Testing revenue</w:t>
            </w:r>
          </w:p>
        </w:tc>
        <w:tc>
          <w:tcPr>
            <w:tcW w:w="0" w:type="auto"/>
            <w:shd w:val="clear" w:color="auto" w:fill="CCEEFF"/>
            <w:vAlign w:val="bottom"/>
            <w:hideMark/>
          </w:tcPr>
          <w:p w14:paraId="6F26A6A1" w14:textId="77777777" w:rsidR="00000000" w:rsidRDefault="004579E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8D372E3" w14:textId="77777777" w:rsidR="00000000" w:rsidRDefault="004579E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2EB46CF" w14:textId="77777777" w:rsidR="00000000" w:rsidRDefault="004579E0">
            <w:pPr>
              <w:jc w:val="right"/>
              <w:rPr>
                <w:rFonts w:eastAsia="Times New Roman"/>
                <w:sz w:val="20"/>
                <w:szCs w:val="20"/>
              </w:rPr>
            </w:pPr>
            <w:r>
              <w:rPr>
                <w:rFonts w:eastAsia="Times New Roman"/>
                <w:sz w:val="20"/>
                <w:szCs w:val="20"/>
              </w:rPr>
              <w:t>368,197</w:t>
            </w:r>
          </w:p>
        </w:tc>
        <w:tc>
          <w:tcPr>
            <w:tcW w:w="0" w:type="auto"/>
            <w:shd w:val="clear" w:color="auto" w:fill="CCEEFF"/>
            <w:vAlign w:val="bottom"/>
            <w:hideMark/>
          </w:tcPr>
          <w:p w14:paraId="37082C98" w14:textId="77777777" w:rsidR="00000000" w:rsidRDefault="004579E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FA3A24D" w14:textId="77777777" w:rsidR="00000000" w:rsidRDefault="004579E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3965111" w14:textId="77777777" w:rsidR="00000000" w:rsidRDefault="004579E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8B0E4FF" w14:textId="77777777" w:rsidR="00000000" w:rsidRDefault="004579E0">
            <w:pPr>
              <w:jc w:val="right"/>
              <w:rPr>
                <w:rFonts w:eastAsia="Times New Roman"/>
                <w:sz w:val="20"/>
                <w:szCs w:val="20"/>
              </w:rPr>
            </w:pPr>
            <w:r>
              <w:rPr>
                <w:rFonts w:eastAsia="Times New Roman"/>
                <w:sz w:val="20"/>
                <w:szCs w:val="20"/>
              </w:rPr>
              <w:t>1,057,232</w:t>
            </w:r>
          </w:p>
        </w:tc>
        <w:tc>
          <w:tcPr>
            <w:tcW w:w="0" w:type="auto"/>
            <w:shd w:val="clear" w:color="auto" w:fill="CCEEFF"/>
            <w:vAlign w:val="bottom"/>
            <w:hideMark/>
          </w:tcPr>
          <w:p w14:paraId="454DF316" w14:textId="77777777" w:rsidR="00000000" w:rsidRDefault="004579E0">
            <w:pPr>
              <w:rPr>
                <w:rFonts w:eastAsia="Times New Roman"/>
                <w:sz w:val="20"/>
                <w:szCs w:val="20"/>
              </w:rPr>
            </w:pPr>
            <w:r>
              <w:rPr>
                <w:rFonts w:eastAsia="Times New Roman"/>
                <w:sz w:val="20"/>
                <w:szCs w:val="20"/>
              </w:rPr>
              <w:t> </w:t>
            </w:r>
          </w:p>
        </w:tc>
      </w:tr>
      <w:tr w:rsidR="00000000" w14:paraId="2306D7CC" w14:textId="77777777">
        <w:trPr>
          <w:divId w:val="1472868164"/>
        </w:trPr>
        <w:tc>
          <w:tcPr>
            <w:tcW w:w="0" w:type="auto"/>
            <w:shd w:val="clear" w:color="auto" w:fill="FFFFFF"/>
            <w:tcMar>
              <w:top w:w="0" w:type="dxa"/>
              <w:left w:w="0" w:type="dxa"/>
              <w:bottom w:w="30" w:type="dxa"/>
              <w:right w:w="0" w:type="dxa"/>
            </w:tcMar>
            <w:vAlign w:val="bottom"/>
            <w:hideMark/>
          </w:tcPr>
          <w:p w14:paraId="1A53AB58" w14:textId="77777777" w:rsidR="00000000" w:rsidRDefault="004579E0">
            <w:pPr>
              <w:rPr>
                <w:rFonts w:eastAsia="Times New Roman"/>
                <w:sz w:val="20"/>
                <w:szCs w:val="20"/>
              </w:rPr>
            </w:pPr>
            <w:r>
              <w:rPr>
                <w:rFonts w:eastAsia="Times New Roman"/>
                <w:sz w:val="20"/>
                <w:szCs w:val="20"/>
              </w:rPr>
              <w:t>Other revenue</w:t>
            </w:r>
          </w:p>
        </w:tc>
        <w:tc>
          <w:tcPr>
            <w:tcW w:w="0" w:type="auto"/>
            <w:shd w:val="clear" w:color="auto" w:fill="FFFFFF"/>
            <w:tcMar>
              <w:top w:w="0" w:type="dxa"/>
              <w:left w:w="0" w:type="dxa"/>
              <w:bottom w:w="30" w:type="dxa"/>
              <w:right w:w="0" w:type="dxa"/>
            </w:tcMar>
            <w:vAlign w:val="bottom"/>
            <w:hideMark/>
          </w:tcPr>
          <w:p w14:paraId="16E11986" w14:textId="77777777" w:rsidR="00000000" w:rsidRDefault="004579E0">
            <w:pPr>
              <w:rPr>
                <w:rFonts w:eastAsia="Times New Roman"/>
                <w:sz w:val="20"/>
                <w:szCs w:val="20"/>
              </w:rPr>
            </w:pPr>
            <w:r>
              <w:rPr>
                <w:rFonts w:eastAsia="Times New Roman"/>
                <w:sz w:val="20"/>
                <w:szCs w:val="20"/>
              </w:rPr>
              <w:t> </w:t>
            </w:r>
          </w:p>
        </w:tc>
        <w:tc>
          <w:tcPr>
            <w:tcW w:w="0" w:type="auto"/>
            <w:tcBorders>
              <w:bottom w:val="single" w:sz="12" w:space="0" w:color="000000"/>
            </w:tcBorders>
            <w:shd w:val="clear" w:color="auto" w:fill="FFFFFF"/>
            <w:vAlign w:val="bottom"/>
            <w:hideMark/>
          </w:tcPr>
          <w:p w14:paraId="549CF941" w14:textId="77777777" w:rsidR="00000000" w:rsidRDefault="004579E0">
            <w:pPr>
              <w:rPr>
                <w:rFonts w:eastAsia="Times New Roman"/>
                <w:sz w:val="20"/>
                <w:szCs w:val="20"/>
              </w:rPr>
            </w:pPr>
            <w:r>
              <w:rPr>
                <w:rFonts w:eastAsia="Times New Roman"/>
                <w:sz w:val="20"/>
                <w:szCs w:val="20"/>
              </w:rPr>
              <w:t> </w:t>
            </w:r>
          </w:p>
        </w:tc>
        <w:tc>
          <w:tcPr>
            <w:tcW w:w="0" w:type="auto"/>
            <w:tcBorders>
              <w:bottom w:val="single" w:sz="12" w:space="0" w:color="000000"/>
            </w:tcBorders>
            <w:shd w:val="clear" w:color="auto" w:fill="FFFFFF"/>
            <w:vAlign w:val="bottom"/>
            <w:hideMark/>
          </w:tcPr>
          <w:p w14:paraId="251308B5" w14:textId="77777777" w:rsidR="00000000" w:rsidRDefault="004579E0">
            <w:pPr>
              <w:jc w:val="right"/>
              <w:rPr>
                <w:rFonts w:eastAsia="Times New Roman"/>
                <w:sz w:val="20"/>
                <w:szCs w:val="20"/>
              </w:rPr>
            </w:pPr>
            <w:r>
              <w:rPr>
                <w:rFonts w:eastAsia="Times New Roman"/>
                <w:sz w:val="20"/>
                <w:szCs w:val="20"/>
              </w:rPr>
              <w:t>1,450</w:t>
            </w:r>
          </w:p>
        </w:tc>
        <w:tc>
          <w:tcPr>
            <w:tcW w:w="0" w:type="auto"/>
            <w:shd w:val="clear" w:color="auto" w:fill="FFFFFF"/>
            <w:tcMar>
              <w:top w:w="0" w:type="dxa"/>
              <w:left w:w="0" w:type="dxa"/>
              <w:bottom w:w="30" w:type="dxa"/>
              <w:right w:w="0" w:type="dxa"/>
            </w:tcMar>
            <w:vAlign w:val="bottom"/>
            <w:hideMark/>
          </w:tcPr>
          <w:p w14:paraId="6641D647" w14:textId="77777777" w:rsidR="00000000" w:rsidRDefault="004579E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30" w:type="dxa"/>
              <w:right w:w="0" w:type="dxa"/>
            </w:tcMar>
            <w:vAlign w:val="bottom"/>
            <w:hideMark/>
          </w:tcPr>
          <w:p w14:paraId="06C6496C" w14:textId="77777777" w:rsidR="00000000" w:rsidRDefault="004579E0">
            <w:pPr>
              <w:rPr>
                <w:rFonts w:eastAsia="Times New Roman"/>
                <w:sz w:val="20"/>
                <w:szCs w:val="20"/>
              </w:rPr>
            </w:pPr>
            <w:r>
              <w:rPr>
                <w:rFonts w:eastAsia="Times New Roman"/>
                <w:sz w:val="20"/>
                <w:szCs w:val="20"/>
              </w:rPr>
              <w:t> </w:t>
            </w:r>
          </w:p>
        </w:tc>
        <w:tc>
          <w:tcPr>
            <w:tcW w:w="0" w:type="auto"/>
            <w:tcBorders>
              <w:bottom w:val="single" w:sz="12" w:space="0" w:color="000000"/>
            </w:tcBorders>
            <w:shd w:val="clear" w:color="auto" w:fill="FFFFFF"/>
            <w:vAlign w:val="bottom"/>
            <w:hideMark/>
          </w:tcPr>
          <w:p w14:paraId="7FFB6FB9" w14:textId="77777777" w:rsidR="00000000" w:rsidRDefault="004579E0">
            <w:pPr>
              <w:rPr>
                <w:rFonts w:eastAsia="Times New Roman"/>
                <w:sz w:val="20"/>
                <w:szCs w:val="20"/>
              </w:rPr>
            </w:pPr>
            <w:r>
              <w:rPr>
                <w:rFonts w:eastAsia="Times New Roman"/>
                <w:sz w:val="20"/>
                <w:szCs w:val="20"/>
              </w:rPr>
              <w:t> </w:t>
            </w:r>
          </w:p>
        </w:tc>
        <w:tc>
          <w:tcPr>
            <w:tcW w:w="0" w:type="auto"/>
            <w:tcBorders>
              <w:bottom w:val="single" w:sz="12" w:space="0" w:color="000000"/>
            </w:tcBorders>
            <w:shd w:val="clear" w:color="auto" w:fill="FFFFFF"/>
            <w:vAlign w:val="bottom"/>
            <w:hideMark/>
          </w:tcPr>
          <w:p w14:paraId="6BFA14F3" w14:textId="77777777" w:rsidR="00000000" w:rsidRDefault="004579E0">
            <w:pPr>
              <w:jc w:val="right"/>
              <w:rPr>
                <w:rFonts w:eastAsia="Times New Roman"/>
                <w:sz w:val="20"/>
                <w:szCs w:val="20"/>
              </w:rPr>
            </w:pPr>
            <w:r>
              <w:rPr>
                <w:rFonts w:eastAsia="Times New Roman"/>
                <w:sz w:val="20"/>
                <w:szCs w:val="20"/>
              </w:rPr>
              <w:t>1,300</w:t>
            </w:r>
          </w:p>
        </w:tc>
        <w:tc>
          <w:tcPr>
            <w:tcW w:w="0" w:type="auto"/>
            <w:shd w:val="clear" w:color="auto" w:fill="FFFFFF"/>
            <w:tcMar>
              <w:top w:w="0" w:type="dxa"/>
              <w:left w:w="0" w:type="dxa"/>
              <w:bottom w:w="30" w:type="dxa"/>
              <w:right w:w="0" w:type="dxa"/>
            </w:tcMar>
            <w:vAlign w:val="bottom"/>
            <w:hideMark/>
          </w:tcPr>
          <w:p w14:paraId="74029B25" w14:textId="77777777" w:rsidR="00000000" w:rsidRDefault="004579E0">
            <w:pPr>
              <w:rPr>
                <w:rFonts w:eastAsia="Times New Roman"/>
                <w:sz w:val="20"/>
                <w:szCs w:val="20"/>
              </w:rPr>
            </w:pPr>
            <w:r>
              <w:rPr>
                <w:rFonts w:eastAsia="Times New Roman"/>
                <w:sz w:val="20"/>
                <w:szCs w:val="20"/>
              </w:rPr>
              <w:t> </w:t>
            </w:r>
          </w:p>
        </w:tc>
      </w:tr>
      <w:tr w:rsidR="00000000" w14:paraId="5337ED7F" w14:textId="77777777">
        <w:trPr>
          <w:divId w:val="1472868164"/>
        </w:trPr>
        <w:tc>
          <w:tcPr>
            <w:tcW w:w="0" w:type="auto"/>
            <w:shd w:val="clear" w:color="auto" w:fill="CCEEFF"/>
            <w:vAlign w:val="bottom"/>
            <w:hideMark/>
          </w:tcPr>
          <w:p w14:paraId="5891829A" w14:textId="77777777" w:rsidR="00000000" w:rsidRDefault="004579E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14C3173" w14:textId="77777777" w:rsidR="00000000" w:rsidRDefault="004579E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311EB02" w14:textId="77777777" w:rsidR="00000000" w:rsidRDefault="004579E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1718A97" w14:textId="77777777" w:rsidR="00000000" w:rsidRDefault="004579E0">
            <w:pPr>
              <w:jc w:val="right"/>
              <w:rPr>
                <w:rFonts w:eastAsia="Times New Roman"/>
                <w:sz w:val="20"/>
                <w:szCs w:val="20"/>
              </w:rPr>
            </w:pPr>
            <w:r>
              <w:rPr>
                <w:rFonts w:eastAsia="Times New Roman"/>
                <w:sz w:val="20"/>
                <w:szCs w:val="20"/>
              </w:rPr>
              <w:t>10,351,523</w:t>
            </w:r>
          </w:p>
        </w:tc>
        <w:tc>
          <w:tcPr>
            <w:tcW w:w="0" w:type="auto"/>
            <w:shd w:val="clear" w:color="auto" w:fill="CCEEFF"/>
            <w:vAlign w:val="bottom"/>
            <w:hideMark/>
          </w:tcPr>
          <w:p w14:paraId="1BDE74AF" w14:textId="77777777" w:rsidR="00000000" w:rsidRDefault="004579E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02F2F65" w14:textId="77777777" w:rsidR="00000000" w:rsidRDefault="004579E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D3A1D04" w14:textId="77777777" w:rsidR="00000000" w:rsidRDefault="004579E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9780ECC" w14:textId="77777777" w:rsidR="00000000" w:rsidRDefault="004579E0">
            <w:pPr>
              <w:jc w:val="right"/>
              <w:rPr>
                <w:rFonts w:eastAsia="Times New Roman"/>
                <w:sz w:val="20"/>
                <w:szCs w:val="20"/>
              </w:rPr>
            </w:pPr>
            <w:r>
              <w:rPr>
                <w:rFonts w:eastAsia="Times New Roman"/>
                <w:sz w:val="20"/>
                <w:szCs w:val="20"/>
              </w:rPr>
              <w:t>9,956,695</w:t>
            </w:r>
          </w:p>
        </w:tc>
        <w:tc>
          <w:tcPr>
            <w:tcW w:w="0" w:type="auto"/>
            <w:shd w:val="clear" w:color="auto" w:fill="CCEEFF"/>
            <w:vAlign w:val="bottom"/>
            <w:hideMark/>
          </w:tcPr>
          <w:p w14:paraId="3DDC9B20" w14:textId="77777777" w:rsidR="00000000" w:rsidRDefault="004579E0">
            <w:pPr>
              <w:rPr>
                <w:rFonts w:eastAsia="Times New Roman"/>
                <w:sz w:val="20"/>
                <w:szCs w:val="20"/>
              </w:rPr>
            </w:pPr>
            <w:r>
              <w:rPr>
                <w:rFonts w:eastAsia="Times New Roman"/>
                <w:sz w:val="20"/>
                <w:szCs w:val="20"/>
              </w:rPr>
              <w:t> </w:t>
            </w:r>
          </w:p>
        </w:tc>
      </w:tr>
      <w:tr w:rsidR="00000000" w14:paraId="15A9EED1" w14:textId="77777777">
        <w:trPr>
          <w:divId w:val="1472868164"/>
        </w:trPr>
        <w:tc>
          <w:tcPr>
            <w:tcW w:w="0" w:type="auto"/>
            <w:shd w:val="clear" w:color="auto" w:fill="FFFFFF"/>
            <w:vAlign w:val="bottom"/>
            <w:hideMark/>
          </w:tcPr>
          <w:p w14:paraId="239EF6EF" w14:textId="77777777" w:rsidR="00000000" w:rsidRDefault="004579E0">
            <w:pPr>
              <w:rPr>
                <w:rFonts w:eastAsia="Times New Roman"/>
                <w:sz w:val="20"/>
                <w:szCs w:val="20"/>
              </w:rPr>
            </w:pPr>
            <w:r>
              <w:rPr>
                <w:rFonts w:eastAsia="Times New Roman"/>
                <w:sz w:val="20"/>
                <w:szCs w:val="20"/>
              </w:rPr>
              <w:t>PBM Fees</w:t>
            </w:r>
          </w:p>
        </w:tc>
        <w:tc>
          <w:tcPr>
            <w:tcW w:w="0" w:type="auto"/>
            <w:shd w:val="clear" w:color="auto" w:fill="FFFFFF"/>
            <w:vAlign w:val="bottom"/>
            <w:hideMark/>
          </w:tcPr>
          <w:p w14:paraId="2473E17A" w14:textId="77777777" w:rsidR="00000000" w:rsidRDefault="004579E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C9DD712" w14:textId="77777777" w:rsidR="00000000" w:rsidRDefault="004579E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E508789" w14:textId="77777777" w:rsidR="00000000" w:rsidRDefault="004579E0">
            <w:pPr>
              <w:jc w:val="right"/>
              <w:rPr>
                <w:rFonts w:eastAsia="Times New Roman"/>
                <w:sz w:val="20"/>
                <w:szCs w:val="20"/>
              </w:rPr>
            </w:pPr>
            <w:r>
              <w:rPr>
                <w:rFonts w:eastAsia="Times New Roman"/>
                <w:sz w:val="20"/>
                <w:szCs w:val="20"/>
              </w:rPr>
              <w:t>(377,939</w:t>
            </w:r>
          </w:p>
        </w:tc>
        <w:tc>
          <w:tcPr>
            <w:tcW w:w="0" w:type="auto"/>
            <w:shd w:val="clear" w:color="auto" w:fill="FFFFFF"/>
            <w:vAlign w:val="bottom"/>
            <w:hideMark/>
          </w:tcPr>
          <w:p w14:paraId="126C5CE0" w14:textId="77777777" w:rsidR="00000000" w:rsidRDefault="004579E0">
            <w:pPr>
              <w:rPr>
                <w:rFonts w:eastAsia="Times New Roman"/>
                <w:sz w:val="20"/>
                <w:szCs w:val="20"/>
              </w:rPr>
            </w:pPr>
            <w:r>
              <w:rPr>
                <w:rFonts w:eastAsia="Times New Roman"/>
                <w:sz w:val="20"/>
                <w:szCs w:val="20"/>
              </w:rPr>
              <w:t>)</w:t>
            </w:r>
          </w:p>
        </w:tc>
        <w:tc>
          <w:tcPr>
            <w:tcW w:w="0" w:type="auto"/>
            <w:shd w:val="clear" w:color="auto" w:fill="FFFFFF"/>
            <w:vAlign w:val="bottom"/>
            <w:hideMark/>
          </w:tcPr>
          <w:p w14:paraId="6233C980" w14:textId="77777777" w:rsidR="00000000" w:rsidRDefault="004579E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7C62251" w14:textId="77777777" w:rsidR="00000000" w:rsidRDefault="004579E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71F7012" w14:textId="77777777" w:rsidR="00000000" w:rsidRDefault="004579E0">
            <w:pPr>
              <w:jc w:val="right"/>
              <w:rPr>
                <w:rFonts w:eastAsia="Times New Roman"/>
                <w:sz w:val="20"/>
                <w:szCs w:val="20"/>
              </w:rPr>
            </w:pPr>
            <w:r>
              <w:rPr>
                <w:rFonts w:eastAsia="Times New Roman"/>
                <w:sz w:val="20"/>
                <w:szCs w:val="20"/>
              </w:rPr>
              <w:t>(356,748</w:t>
            </w:r>
          </w:p>
        </w:tc>
        <w:tc>
          <w:tcPr>
            <w:tcW w:w="0" w:type="auto"/>
            <w:shd w:val="clear" w:color="auto" w:fill="FFFFFF"/>
            <w:vAlign w:val="bottom"/>
            <w:hideMark/>
          </w:tcPr>
          <w:p w14:paraId="5C1B12B7" w14:textId="77777777" w:rsidR="00000000" w:rsidRDefault="004579E0">
            <w:pPr>
              <w:rPr>
                <w:rFonts w:eastAsia="Times New Roman"/>
                <w:sz w:val="20"/>
                <w:szCs w:val="20"/>
              </w:rPr>
            </w:pPr>
            <w:r>
              <w:rPr>
                <w:rFonts w:eastAsia="Times New Roman"/>
                <w:sz w:val="20"/>
                <w:szCs w:val="20"/>
              </w:rPr>
              <w:t>)</w:t>
            </w:r>
          </w:p>
        </w:tc>
      </w:tr>
      <w:tr w:rsidR="00000000" w14:paraId="14CC8C45" w14:textId="77777777">
        <w:trPr>
          <w:divId w:val="1472868164"/>
        </w:trPr>
        <w:tc>
          <w:tcPr>
            <w:tcW w:w="0" w:type="auto"/>
            <w:shd w:val="clear" w:color="auto" w:fill="CCEEFF"/>
            <w:tcMar>
              <w:top w:w="0" w:type="dxa"/>
              <w:left w:w="0" w:type="dxa"/>
              <w:bottom w:w="30" w:type="dxa"/>
              <w:right w:w="0" w:type="dxa"/>
            </w:tcMar>
            <w:vAlign w:val="bottom"/>
            <w:hideMark/>
          </w:tcPr>
          <w:p w14:paraId="333B96D4" w14:textId="77777777" w:rsidR="00000000" w:rsidRDefault="004579E0">
            <w:pPr>
              <w:rPr>
                <w:rFonts w:eastAsia="Times New Roman"/>
                <w:sz w:val="20"/>
                <w:szCs w:val="20"/>
              </w:rPr>
            </w:pPr>
            <w:r>
              <w:rPr>
                <w:rFonts w:eastAsia="Times New Roman"/>
                <w:sz w:val="20"/>
                <w:szCs w:val="20"/>
              </w:rPr>
              <w:t>Sales returns</w:t>
            </w:r>
          </w:p>
        </w:tc>
        <w:tc>
          <w:tcPr>
            <w:tcW w:w="0" w:type="auto"/>
            <w:shd w:val="clear" w:color="auto" w:fill="CCEEFF"/>
            <w:tcMar>
              <w:top w:w="0" w:type="dxa"/>
              <w:left w:w="0" w:type="dxa"/>
              <w:bottom w:w="30" w:type="dxa"/>
              <w:right w:w="0" w:type="dxa"/>
            </w:tcMar>
            <w:vAlign w:val="bottom"/>
            <w:hideMark/>
          </w:tcPr>
          <w:p w14:paraId="101600C3" w14:textId="77777777" w:rsidR="00000000" w:rsidRDefault="004579E0">
            <w:pPr>
              <w:rPr>
                <w:rFonts w:eastAsia="Times New Roman"/>
                <w:sz w:val="20"/>
                <w:szCs w:val="20"/>
              </w:rPr>
            </w:pPr>
            <w:r>
              <w:rPr>
                <w:rFonts w:eastAsia="Times New Roman"/>
                <w:sz w:val="20"/>
                <w:szCs w:val="20"/>
              </w:rPr>
              <w:t> </w:t>
            </w:r>
          </w:p>
        </w:tc>
        <w:tc>
          <w:tcPr>
            <w:tcW w:w="0" w:type="auto"/>
            <w:tcBorders>
              <w:bottom w:val="single" w:sz="12" w:space="0" w:color="000000"/>
            </w:tcBorders>
            <w:shd w:val="clear" w:color="auto" w:fill="CCEEFF"/>
            <w:vAlign w:val="bottom"/>
            <w:hideMark/>
          </w:tcPr>
          <w:p w14:paraId="3727DFBA" w14:textId="77777777" w:rsidR="00000000" w:rsidRDefault="004579E0">
            <w:pPr>
              <w:rPr>
                <w:rFonts w:eastAsia="Times New Roman"/>
                <w:sz w:val="20"/>
                <w:szCs w:val="20"/>
              </w:rPr>
            </w:pPr>
            <w:r>
              <w:rPr>
                <w:rFonts w:eastAsia="Times New Roman"/>
                <w:sz w:val="20"/>
                <w:szCs w:val="20"/>
              </w:rPr>
              <w:t> </w:t>
            </w:r>
          </w:p>
        </w:tc>
        <w:tc>
          <w:tcPr>
            <w:tcW w:w="0" w:type="auto"/>
            <w:tcBorders>
              <w:bottom w:val="single" w:sz="12" w:space="0" w:color="000000"/>
            </w:tcBorders>
            <w:shd w:val="clear" w:color="auto" w:fill="CCEEFF"/>
            <w:vAlign w:val="bottom"/>
            <w:hideMark/>
          </w:tcPr>
          <w:p w14:paraId="0FBEC6D4" w14:textId="77777777" w:rsidR="00000000" w:rsidRDefault="004579E0">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30" w:type="dxa"/>
              <w:right w:w="0" w:type="dxa"/>
            </w:tcMar>
            <w:vAlign w:val="bottom"/>
            <w:hideMark/>
          </w:tcPr>
          <w:p w14:paraId="24DE67D8" w14:textId="77777777" w:rsidR="00000000" w:rsidRDefault="004579E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30" w:type="dxa"/>
              <w:right w:w="0" w:type="dxa"/>
            </w:tcMar>
            <w:vAlign w:val="bottom"/>
            <w:hideMark/>
          </w:tcPr>
          <w:p w14:paraId="03427F1F" w14:textId="77777777" w:rsidR="00000000" w:rsidRDefault="004579E0">
            <w:pPr>
              <w:rPr>
                <w:rFonts w:eastAsia="Times New Roman"/>
                <w:sz w:val="20"/>
                <w:szCs w:val="20"/>
              </w:rPr>
            </w:pPr>
            <w:r>
              <w:rPr>
                <w:rFonts w:eastAsia="Times New Roman"/>
                <w:sz w:val="20"/>
                <w:szCs w:val="20"/>
              </w:rPr>
              <w:t> </w:t>
            </w:r>
          </w:p>
        </w:tc>
        <w:tc>
          <w:tcPr>
            <w:tcW w:w="0" w:type="auto"/>
            <w:tcBorders>
              <w:bottom w:val="single" w:sz="12" w:space="0" w:color="000000"/>
            </w:tcBorders>
            <w:shd w:val="clear" w:color="auto" w:fill="CCEEFF"/>
            <w:vAlign w:val="bottom"/>
            <w:hideMark/>
          </w:tcPr>
          <w:p w14:paraId="29137DD6" w14:textId="77777777" w:rsidR="00000000" w:rsidRDefault="004579E0">
            <w:pPr>
              <w:rPr>
                <w:rFonts w:eastAsia="Times New Roman"/>
                <w:sz w:val="20"/>
                <w:szCs w:val="20"/>
              </w:rPr>
            </w:pPr>
            <w:r>
              <w:rPr>
                <w:rFonts w:eastAsia="Times New Roman"/>
                <w:sz w:val="20"/>
                <w:szCs w:val="20"/>
              </w:rPr>
              <w:t> </w:t>
            </w:r>
          </w:p>
        </w:tc>
        <w:tc>
          <w:tcPr>
            <w:tcW w:w="0" w:type="auto"/>
            <w:tcBorders>
              <w:bottom w:val="single" w:sz="12" w:space="0" w:color="000000"/>
            </w:tcBorders>
            <w:shd w:val="clear" w:color="auto" w:fill="CCEEFF"/>
            <w:vAlign w:val="bottom"/>
            <w:hideMark/>
          </w:tcPr>
          <w:p w14:paraId="6BCF4FB6" w14:textId="77777777" w:rsidR="00000000" w:rsidRDefault="004579E0">
            <w:pPr>
              <w:jc w:val="right"/>
              <w:rPr>
                <w:rFonts w:eastAsia="Times New Roman"/>
                <w:sz w:val="20"/>
                <w:szCs w:val="20"/>
              </w:rPr>
            </w:pPr>
            <w:r>
              <w:rPr>
                <w:rFonts w:eastAsia="Times New Roman"/>
                <w:sz w:val="20"/>
                <w:szCs w:val="20"/>
              </w:rPr>
              <w:t>(2,813</w:t>
            </w:r>
          </w:p>
        </w:tc>
        <w:tc>
          <w:tcPr>
            <w:tcW w:w="0" w:type="auto"/>
            <w:shd w:val="clear" w:color="auto" w:fill="CCEEFF"/>
            <w:tcMar>
              <w:top w:w="0" w:type="dxa"/>
              <w:left w:w="0" w:type="dxa"/>
              <w:bottom w:w="30" w:type="dxa"/>
              <w:right w:w="0" w:type="dxa"/>
            </w:tcMar>
            <w:vAlign w:val="bottom"/>
            <w:hideMark/>
          </w:tcPr>
          <w:p w14:paraId="0B31E937" w14:textId="77777777" w:rsidR="00000000" w:rsidRDefault="004579E0">
            <w:pPr>
              <w:rPr>
                <w:rFonts w:eastAsia="Times New Roman"/>
                <w:sz w:val="20"/>
                <w:szCs w:val="20"/>
              </w:rPr>
            </w:pPr>
            <w:r>
              <w:rPr>
                <w:rFonts w:eastAsia="Times New Roman"/>
                <w:sz w:val="20"/>
                <w:szCs w:val="20"/>
              </w:rPr>
              <w:t>)</w:t>
            </w:r>
          </w:p>
        </w:tc>
      </w:tr>
      <w:tr w:rsidR="00000000" w14:paraId="3C8EC6FD" w14:textId="77777777">
        <w:trPr>
          <w:divId w:val="1472868164"/>
        </w:trPr>
        <w:tc>
          <w:tcPr>
            <w:tcW w:w="0" w:type="auto"/>
            <w:shd w:val="clear" w:color="auto" w:fill="FFFFFF"/>
            <w:tcMar>
              <w:top w:w="0" w:type="dxa"/>
              <w:left w:w="0" w:type="dxa"/>
              <w:bottom w:w="50" w:type="dxa"/>
              <w:right w:w="0" w:type="dxa"/>
            </w:tcMar>
            <w:vAlign w:val="bottom"/>
            <w:hideMark/>
          </w:tcPr>
          <w:p w14:paraId="062DE9C5" w14:textId="77777777" w:rsidR="00000000" w:rsidRDefault="004579E0">
            <w:pPr>
              <w:rPr>
                <w:rFonts w:eastAsia="Times New Roman"/>
                <w:sz w:val="20"/>
                <w:szCs w:val="20"/>
              </w:rPr>
            </w:pPr>
            <w:r>
              <w:rPr>
                <w:rFonts w:eastAsia="Times New Roman"/>
                <w:sz w:val="20"/>
                <w:szCs w:val="20"/>
              </w:rPr>
              <w:t>Revenues, net</w:t>
            </w:r>
          </w:p>
        </w:tc>
        <w:tc>
          <w:tcPr>
            <w:tcW w:w="0" w:type="auto"/>
            <w:shd w:val="clear" w:color="auto" w:fill="FFFFFF"/>
            <w:tcMar>
              <w:top w:w="0" w:type="dxa"/>
              <w:left w:w="0" w:type="dxa"/>
              <w:bottom w:w="50" w:type="dxa"/>
              <w:right w:w="0" w:type="dxa"/>
            </w:tcMar>
            <w:vAlign w:val="bottom"/>
            <w:hideMark/>
          </w:tcPr>
          <w:p w14:paraId="2A6DCE9C" w14:textId="77777777" w:rsidR="00000000" w:rsidRDefault="004579E0">
            <w:pPr>
              <w:rPr>
                <w:rFonts w:eastAsia="Times New Roman"/>
                <w:b/>
                <w:bCs/>
                <w:sz w:val="20"/>
                <w:szCs w:val="20"/>
              </w:rPr>
            </w:pPr>
            <w:r>
              <w:rPr>
                <w:rFonts w:eastAsia="Times New Roman"/>
                <w:b/>
                <w:bCs/>
                <w:sz w:val="20"/>
                <w:szCs w:val="20"/>
              </w:rPr>
              <w:t> </w:t>
            </w:r>
          </w:p>
        </w:tc>
        <w:tc>
          <w:tcPr>
            <w:tcW w:w="0" w:type="auto"/>
            <w:tcBorders>
              <w:bottom w:val="double" w:sz="6" w:space="0" w:color="000000"/>
            </w:tcBorders>
            <w:shd w:val="clear" w:color="auto" w:fill="FFFFFF"/>
            <w:vAlign w:val="bottom"/>
            <w:hideMark/>
          </w:tcPr>
          <w:p w14:paraId="519BF84F" w14:textId="77777777" w:rsidR="00000000" w:rsidRDefault="004579E0">
            <w:pPr>
              <w:rPr>
                <w:rFonts w:eastAsia="Times New Roman"/>
                <w:b/>
                <w:bCs/>
                <w:sz w:val="20"/>
                <w:szCs w:val="20"/>
              </w:rPr>
            </w:pPr>
            <w:r>
              <w:rPr>
                <w:rFonts w:eastAsia="Times New Roman"/>
                <w:b/>
                <w:bCs/>
                <w:sz w:val="20"/>
                <w:szCs w:val="20"/>
              </w:rPr>
              <w:t>$</w:t>
            </w:r>
          </w:p>
        </w:tc>
        <w:tc>
          <w:tcPr>
            <w:tcW w:w="0" w:type="auto"/>
            <w:tcBorders>
              <w:bottom w:val="double" w:sz="6" w:space="0" w:color="000000"/>
            </w:tcBorders>
            <w:shd w:val="clear" w:color="auto" w:fill="FFFFFF"/>
            <w:vAlign w:val="bottom"/>
            <w:hideMark/>
          </w:tcPr>
          <w:p w14:paraId="6791CD08" w14:textId="77777777" w:rsidR="00000000" w:rsidRDefault="004579E0">
            <w:pPr>
              <w:jc w:val="right"/>
              <w:rPr>
                <w:rFonts w:eastAsia="Times New Roman"/>
                <w:b/>
                <w:bCs/>
                <w:sz w:val="20"/>
                <w:szCs w:val="20"/>
              </w:rPr>
            </w:pPr>
            <w:r>
              <w:rPr>
                <w:rFonts w:eastAsia="Times New Roman"/>
                <w:b/>
                <w:bCs/>
                <w:sz w:val="20"/>
                <w:szCs w:val="20"/>
              </w:rPr>
              <w:t>9,973,584</w:t>
            </w:r>
          </w:p>
        </w:tc>
        <w:tc>
          <w:tcPr>
            <w:tcW w:w="0" w:type="auto"/>
            <w:shd w:val="clear" w:color="auto" w:fill="FFFFFF"/>
            <w:tcMar>
              <w:top w:w="0" w:type="dxa"/>
              <w:left w:w="0" w:type="dxa"/>
              <w:bottom w:w="50" w:type="dxa"/>
              <w:right w:w="0" w:type="dxa"/>
            </w:tcMar>
            <w:vAlign w:val="bottom"/>
            <w:hideMark/>
          </w:tcPr>
          <w:p w14:paraId="5F73A00B" w14:textId="77777777" w:rsidR="00000000" w:rsidRDefault="004579E0">
            <w:pPr>
              <w:rPr>
                <w:rFonts w:eastAsia="Times New Roman"/>
                <w:b/>
                <w:bCs/>
                <w:sz w:val="20"/>
                <w:szCs w:val="20"/>
              </w:rPr>
            </w:pPr>
            <w:r>
              <w:rPr>
                <w:rFonts w:eastAsia="Times New Roman"/>
                <w:b/>
                <w:bCs/>
                <w:sz w:val="20"/>
                <w:szCs w:val="20"/>
              </w:rPr>
              <w:t> </w:t>
            </w:r>
          </w:p>
        </w:tc>
        <w:tc>
          <w:tcPr>
            <w:tcW w:w="0" w:type="auto"/>
            <w:shd w:val="clear" w:color="auto" w:fill="FFFFFF"/>
            <w:tcMar>
              <w:top w:w="0" w:type="dxa"/>
              <w:left w:w="0" w:type="dxa"/>
              <w:bottom w:w="50" w:type="dxa"/>
              <w:right w:w="0" w:type="dxa"/>
            </w:tcMar>
            <w:vAlign w:val="bottom"/>
            <w:hideMark/>
          </w:tcPr>
          <w:p w14:paraId="71CFB4AA" w14:textId="77777777" w:rsidR="00000000" w:rsidRDefault="004579E0">
            <w:pPr>
              <w:rPr>
                <w:rFonts w:eastAsia="Times New Roman"/>
                <w:b/>
                <w:bCs/>
                <w:sz w:val="20"/>
                <w:szCs w:val="20"/>
              </w:rPr>
            </w:pPr>
            <w:r>
              <w:rPr>
                <w:rFonts w:eastAsia="Times New Roman"/>
                <w:b/>
                <w:bCs/>
                <w:sz w:val="20"/>
                <w:szCs w:val="20"/>
              </w:rPr>
              <w:t> </w:t>
            </w:r>
          </w:p>
        </w:tc>
        <w:tc>
          <w:tcPr>
            <w:tcW w:w="0" w:type="auto"/>
            <w:tcBorders>
              <w:bottom w:val="double" w:sz="6" w:space="0" w:color="000000"/>
            </w:tcBorders>
            <w:shd w:val="clear" w:color="auto" w:fill="FFFFFF"/>
            <w:vAlign w:val="bottom"/>
            <w:hideMark/>
          </w:tcPr>
          <w:p w14:paraId="4852C276" w14:textId="77777777" w:rsidR="00000000" w:rsidRDefault="004579E0">
            <w:pPr>
              <w:rPr>
                <w:rFonts w:eastAsia="Times New Roman"/>
                <w:b/>
                <w:bCs/>
                <w:sz w:val="20"/>
                <w:szCs w:val="20"/>
              </w:rPr>
            </w:pPr>
            <w:r>
              <w:rPr>
                <w:rFonts w:eastAsia="Times New Roman"/>
                <w:b/>
                <w:bCs/>
                <w:sz w:val="20"/>
                <w:szCs w:val="20"/>
              </w:rPr>
              <w:t>$</w:t>
            </w:r>
          </w:p>
        </w:tc>
        <w:tc>
          <w:tcPr>
            <w:tcW w:w="0" w:type="auto"/>
            <w:tcBorders>
              <w:bottom w:val="double" w:sz="6" w:space="0" w:color="000000"/>
            </w:tcBorders>
            <w:shd w:val="clear" w:color="auto" w:fill="FFFFFF"/>
            <w:vAlign w:val="bottom"/>
            <w:hideMark/>
          </w:tcPr>
          <w:p w14:paraId="29FB0781" w14:textId="77777777" w:rsidR="00000000" w:rsidRDefault="004579E0">
            <w:pPr>
              <w:jc w:val="right"/>
              <w:rPr>
                <w:rFonts w:eastAsia="Times New Roman"/>
                <w:b/>
                <w:bCs/>
                <w:sz w:val="20"/>
                <w:szCs w:val="20"/>
              </w:rPr>
            </w:pPr>
            <w:r>
              <w:rPr>
                <w:rFonts w:eastAsia="Times New Roman"/>
                <w:b/>
                <w:bCs/>
                <w:sz w:val="20"/>
                <w:szCs w:val="20"/>
              </w:rPr>
              <w:t>9,597,134</w:t>
            </w:r>
          </w:p>
        </w:tc>
        <w:tc>
          <w:tcPr>
            <w:tcW w:w="0" w:type="auto"/>
            <w:shd w:val="clear" w:color="auto" w:fill="FFFFFF"/>
            <w:tcMar>
              <w:top w:w="0" w:type="dxa"/>
              <w:left w:w="0" w:type="dxa"/>
              <w:bottom w:w="50" w:type="dxa"/>
              <w:right w:w="0" w:type="dxa"/>
            </w:tcMar>
            <w:vAlign w:val="bottom"/>
            <w:hideMark/>
          </w:tcPr>
          <w:p w14:paraId="1E5BA327" w14:textId="77777777" w:rsidR="00000000" w:rsidRDefault="004579E0">
            <w:pPr>
              <w:rPr>
                <w:rFonts w:eastAsia="Times New Roman"/>
                <w:b/>
                <w:bCs/>
                <w:sz w:val="20"/>
                <w:szCs w:val="20"/>
              </w:rPr>
            </w:pPr>
            <w:r>
              <w:rPr>
                <w:rFonts w:eastAsia="Times New Roman"/>
                <w:b/>
                <w:bCs/>
                <w:sz w:val="20"/>
                <w:szCs w:val="20"/>
              </w:rPr>
              <w:t> </w:t>
            </w:r>
          </w:p>
        </w:tc>
      </w:tr>
    </w:tbl>
    <w:p w14:paraId="4C74BE1D" w14:textId="77777777" w:rsidR="00000000" w:rsidRDefault="004579E0">
      <w:pPr>
        <w:pStyle w:val="NormalWeb"/>
        <w:shd w:val="clear" w:color="auto" w:fill="FFFFFF"/>
        <w:spacing w:before="0" w:beforeAutospacing="0" w:after="0" w:afterAutospacing="0"/>
        <w:jc w:val="both"/>
        <w:divId w:val="1472868164"/>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9360"/>
      </w:tblGrid>
      <w:tr w:rsidR="00000000" w14:paraId="76511C95" w14:textId="77777777">
        <w:trPr>
          <w:divId w:val="1289437471"/>
        </w:trPr>
        <w:tc>
          <w:tcPr>
            <w:tcW w:w="5000" w:type="pct"/>
            <w:hideMark/>
          </w:tcPr>
          <w:p w14:paraId="35AE2F16" w14:textId="77777777" w:rsidR="00000000" w:rsidRDefault="004579E0">
            <w:pPr>
              <w:rPr>
                <w:rFonts w:eastAsia="Times New Roman"/>
                <w:sz w:val="20"/>
                <w:szCs w:val="20"/>
              </w:rPr>
            </w:pPr>
            <w:r>
              <w:rPr>
                <w:rFonts w:eastAsia="Times New Roman"/>
                <w:sz w:val="20"/>
                <w:szCs w:val="20"/>
              </w:rPr>
              <w:t> </w:t>
            </w:r>
          </w:p>
        </w:tc>
      </w:tr>
    </w:tbl>
    <w:p w14:paraId="20C265CF" w14:textId="77777777" w:rsidR="00000000" w:rsidRDefault="004579E0">
      <w:pPr>
        <w:pStyle w:val="NormalWeb"/>
        <w:spacing w:before="0" w:beforeAutospacing="0" w:after="0" w:afterAutospacing="0"/>
        <w:divId w:val="1461026541"/>
        <w:rPr>
          <w:sz w:val="20"/>
          <w:szCs w:val="20"/>
        </w:rPr>
      </w:pPr>
      <w:r>
        <w:rPr>
          <w:sz w:val="20"/>
          <w:szCs w:val="20"/>
        </w:rPr>
        <w:t> </w:t>
      </w:r>
    </w:p>
    <w:p w14:paraId="5CC87C68" w14:textId="77777777" w:rsidR="00000000" w:rsidRDefault="004579E0">
      <w:pPr>
        <w:pStyle w:val="NormalWeb"/>
        <w:spacing w:before="0" w:beforeAutospacing="0" w:after="0" w:afterAutospacing="0"/>
        <w:jc w:val="both"/>
        <w:divId w:val="1472868164"/>
        <w:rPr>
          <w:sz w:val="20"/>
          <w:szCs w:val="20"/>
        </w:rPr>
      </w:pPr>
      <w:r>
        <w:rPr>
          <w:sz w:val="20"/>
          <w:szCs w:val="20"/>
        </w:rPr>
        <w:t> </w:t>
      </w:r>
    </w:p>
    <w:p w14:paraId="12598331" w14:textId="77777777" w:rsidR="00000000" w:rsidRDefault="004579E0">
      <w:pPr>
        <w:pStyle w:val="NormalWeb"/>
        <w:spacing w:before="0" w:beforeAutospacing="0" w:after="0" w:afterAutospacing="0"/>
        <w:jc w:val="both"/>
        <w:divId w:val="1472868164"/>
        <w:rPr>
          <w:sz w:val="20"/>
          <w:szCs w:val="20"/>
        </w:rPr>
      </w:pPr>
      <w:r>
        <w:rPr>
          <w:b/>
          <w:bCs/>
          <w:sz w:val="20"/>
          <w:szCs w:val="20"/>
        </w:rPr>
        <w:t>Management Commentary</w:t>
      </w:r>
    </w:p>
    <w:p w14:paraId="0F0AA760" w14:textId="77777777" w:rsidR="00000000" w:rsidRDefault="004579E0">
      <w:pPr>
        <w:pStyle w:val="NormalWeb"/>
        <w:spacing w:before="0" w:beforeAutospacing="0" w:after="0" w:afterAutospacing="0"/>
        <w:jc w:val="both"/>
        <w:divId w:val="1472868164"/>
        <w:rPr>
          <w:sz w:val="20"/>
          <w:szCs w:val="20"/>
        </w:rPr>
      </w:pPr>
      <w:r>
        <w:rPr>
          <w:b/>
          <w:bCs/>
          <w:sz w:val="20"/>
          <w:szCs w:val="20"/>
        </w:rPr>
        <w:t> </w:t>
      </w:r>
    </w:p>
    <w:p w14:paraId="26C3C6AC" w14:textId="77777777" w:rsidR="00000000" w:rsidRDefault="004579E0">
      <w:pPr>
        <w:pStyle w:val="NormalWeb"/>
        <w:spacing w:before="0" w:beforeAutospacing="0" w:after="0" w:afterAutospacing="0"/>
        <w:jc w:val="both"/>
        <w:divId w:val="1472868164"/>
        <w:rPr>
          <w:sz w:val="20"/>
          <w:szCs w:val="20"/>
        </w:rPr>
      </w:pPr>
      <w:r>
        <w:rPr>
          <w:sz w:val="20"/>
          <w:szCs w:val="20"/>
        </w:rPr>
        <w:t xml:space="preserve">Alan </w:t>
      </w:r>
      <w:r>
        <w:rPr>
          <w:sz w:val="20"/>
          <w:szCs w:val="20"/>
        </w:rPr>
        <w:t>Jay Weisberg, Chairman and Chief Executive Officer of Progressive Care, commented, “We continued to see improvement in several segments of our business. Our 340B covered entity business has continued to improve due to revenues related to dispensing prescri</w:t>
      </w:r>
      <w:r>
        <w:rPr>
          <w:sz w:val="20"/>
          <w:szCs w:val="20"/>
        </w:rPr>
        <w:t>ptions and third-party administration fees, which have returned to the same levels prior to January 2022. In our value-based pharmacy business, our revenues have improved to over $9 million this quarter, an improvement of over $1 million year over year fro</w:t>
      </w:r>
      <w:r>
        <w:rPr>
          <w:sz w:val="20"/>
          <w:szCs w:val="20"/>
        </w:rPr>
        <w:t>m the same period last year. Our patient numbers have increased steadily quarter to quarter in 2022.”</w:t>
      </w:r>
    </w:p>
    <w:p w14:paraId="3FA9822F" w14:textId="77777777" w:rsidR="00000000" w:rsidRDefault="004579E0">
      <w:pPr>
        <w:pStyle w:val="NormalWeb"/>
        <w:shd w:val="clear" w:color="auto" w:fill="FFFFFF"/>
        <w:spacing w:before="0" w:beforeAutospacing="0" w:after="0" w:afterAutospacing="0"/>
        <w:jc w:val="both"/>
        <w:divId w:val="1472868164"/>
        <w:rPr>
          <w:sz w:val="20"/>
          <w:szCs w:val="20"/>
        </w:rPr>
      </w:pPr>
      <w:r>
        <w:rPr>
          <w:sz w:val="20"/>
          <w:szCs w:val="20"/>
        </w:rPr>
        <w:t> </w:t>
      </w:r>
    </w:p>
    <w:p w14:paraId="64F42CC6" w14:textId="77777777" w:rsidR="00000000" w:rsidRDefault="004579E0">
      <w:pPr>
        <w:pStyle w:val="NormalWeb"/>
        <w:shd w:val="clear" w:color="auto" w:fill="FFFFFF"/>
        <w:spacing w:before="0" w:beforeAutospacing="0" w:after="0" w:afterAutospacing="0"/>
        <w:jc w:val="both"/>
        <w:divId w:val="1472868164"/>
        <w:rPr>
          <w:sz w:val="20"/>
          <w:szCs w:val="20"/>
        </w:rPr>
      </w:pPr>
      <w:r>
        <w:rPr>
          <w:sz w:val="20"/>
          <w:szCs w:val="20"/>
        </w:rPr>
        <w:t>Mr. Weisberg continued, “Going forward, our marketing and business development focus will be on more profitable business lines, such as our long-term ca</w:t>
      </w:r>
      <w:r>
        <w:rPr>
          <w:sz w:val="20"/>
          <w:szCs w:val="20"/>
        </w:rPr>
        <w:t>re business, 340B contract pharmacy services, and 340B third party administration services. We will also develop new and expanded services in the areas of chronic care management and remote patient monitoring. We have done a great job identifying such oppo</w:t>
      </w:r>
      <w:r>
        <w:rPr>
          <w:sz w:val="20"/>
          <w:szCs w:val="20"/>
        </w:rPr>
        <w:t xml:space="preserve">rtunities in the past years with our testing business as an example, which helped us during the pandemic to improve our cash flow and liquidity, and we’re extremely excited to enter the remote patient monitoring market. We are in the process of finalizing </w:t>
      </w:r>
      <w:r>
        <w:rPr>
          <w:sz w:val="20"/>
          <w:szCs w:val="20"/>
        </w:rPr>
        <w:t>the development of our RPM platform and expect to be ready for the launch of our RPM solutions during the third quarter of 2022.”</w:t>
      </w:r>
    </w:p>
    <w:p w14:paraId="066690C2" w14:textId="77777777" w:rsidR="00000000" w:rsidRDefault="004579E0">
      <w:pPr>
        <w:pStyle w:val="NormalWeb"/>
        <w:shd w:val="clear" w:color="auto" w:fill="FFFFFF"/>
        <w:spacing w:before="0" w:beforeAutospacing="0" w:after="0" w:afterAutospacing="0"/>
        <w:jc w:val="both"/>
        <w:divId w:val="1472868164"/>
        <w:rPr>
          <w:sz w:val="20"/>
          <w:szCs w:val="20"/>
        </w:rPr>
      </w:pPr>
      <w:r>
        <w:rPr>
          <w:sz w:val="20"/>
          <w:szCs w:val="20"/>
        </w:rPr>
        <w:t> </w:t>
      </w:r>
    </w:p>
    <w:p w14:paraId="27CC1A60" w14:textId="77777777" w:rsidR="00000000" w:rsidRDefault="004579E0">
      <w:pPr>
        <w:pStyle w:val="NormalWeb"/>
        <w:spacing w:before="0" w:beforeAutospacing="0" w:after="0" w:afterAutospacing="0"/>
        <w:jc w:val="both"/>
        <w:divId w:val="1472868164"/>
        <w:rPr>
          <w:sz w:val="20"/>
          <w:szCs w:val="20"/>
        </w:rPr>
      </w:pPr>
      <w:r>
        <w:rPr>
          <w:b/>
          <w:bCs/>
          <w:sz w:val="20"/>
          <w:szCs w:val="20"/>
        </w:rPr>
        <w:t>Financial Results for Three Months Ended June 30, 2022</w:t>
      </w:r>
    </w:p>
    <w:p w14:paraId="5C1C9BAE" w14:textId="77777777" w:rsidR="00000000" w:rsidRDefault="004579E0">
      <w:pPr>
        <w:pStyle w:val="NormalWeb"/>
        <w:spacing w:before="0" w:beforeAutospacing="0" w:after="0" w:afterAutospacing="0"/>
        <w:jc w:val="both"/>
        <w:divId w:val="1472868164"/>
        <w:rPr>
          <w:sz w:val="20"/>
          <w:szCs w:val="20"/>
        </w:rPr>
      </w:pPr>
      <w:r>
        <w:rPr>
          <w:b/>
          <w:bCs/>
          <w:sz w:val="20"/>
          <w:szCs w:val="20"/>
        </w:rPr>
        <w:t> </w:t>
      </w:r>
    </w:p>
    <w:p w14:paraId="508D5500" w14:textId="77777777" w:rsidR="00000000" w:rsidRDefault="004579E0">
      <w:pPr>
        <w:pStyle w:val="NormalWeb"/>
        <w:spacing w:before="0" w:beforeAutospacing="0" w:after="0" w:afterAutospacing="0"/>
        <w:jc w:val="both"/>
        <w:divId w:val="1472868164"/>
        <w:rPr>
          <w:sz w:val="20"/>
          <w:szCs w:val="20"/>
        </w:rPr>
      </w:pPr>
      <w:r>
        <w:rPr>
          <w:sz w:val="20"/>
          <w:szCs w:val="20"/>
        </w:rPr>
        <w:t>For the three months ended June 30, 2022 and 2021, the Company reco</w:t>
      </w:r>
      <w:r>
        <w:rPr>
          <w:sz w:val="20"/>
          <w:szCs w:val="20"/>
        </w:rPr>
        <w:t xml:space="preserve">gnized overall revenue from operations of approximately $10.0 million and $9.6 million, respectively. Prescription revenue for the three months ended June 30, </w:t>
      </w:r>
      <w:r>
        <w:rPr>
          <w:sz w:val="20"/>
          <w:szCs w:val="20"/>
        </w:rPr>
        <w:lastRenderedPageBreak/>
        <w:t xml:space="preserve">2022 was approximately $9.3 million when compared to $8.2 million the same period in 2021, a 13% </w:t>
      </w:r>
      <w:r>
        <w:rPr>
          <w:sz w:val="20"/>
          <w:szCs w:val="20"/>
        </w:rPr>
        <w:t>period over period increase.</w:t>
      </w:r>
    </w:p>
    <w:p w14:paraId="5902C554" w14:textId="77777777" w:rsidR="00000000" w:rsidRDefault="004579E0">
      <w:pPr>
        <w:pStyle w:val="NormalWeb"/>
        <w:spacing w:before="0" w:beforeAutospacing="0" w:after="0" w:afterAutospacing="0"/>
        <w:jc w:val="both"/>
        <w:divId w:val="1472868164"/>
        <w:rPr>
          <w:sz w:val="20"/>
          <w:szCs w:val="20"/>
        </w:rPr>
      </w:pPr>
      <w:r>
        <w:rPr>
          <w:sz w:val="20"/>
          <w:szCs w:val="20"/>
        </w:rPr>
        <w:t> </w:t>
      </w:r>
    </w:p>
    <w:p w14:paraId="5A5909AC" w14:textId="77777777" w:rsidR="00000000" w:rsidRDefault="004579E0">
      <w:pPr>
        <w:pStyle w:val="NormalWeb"/>
        <w:spacing w:before="0" w:beforeAutospacing="0" w:after="0" w:afterAutospacing="0"/>
        <w:jc w:val="both"/>
        <w:divId w:val="1472868164"/>
        <w:rPr>
          <w:sz w:val="20"/>
          <w:szCs w:val="20"/>
        </w:rPr>
      </w:pPr>
      <w:r>
        <w:rPr>
          <w:sz w:val="20"/>
          <w:szCs w:val="20"/>
        </w:rPr>
        <w:t>The Company’s pharmacy business filled approximately 118,000 and 107,000 prescriptions during the three months ended June 30, 2022, and 2021, respectively, a 10% period over period increase in the number of prescriptions fill</w:t>
      </w:r>
      <w:r>
        <w:rPr>
          <w:sz w:val="20"/>
          <w:szCs w:val="20"/>
        </w:rPr>
        <w:t>ed.</w:t>
      </w:r>
    </w:p>
    <w:p w14:paraId="24D4E361" w14:textId="77777777" w:rsidR="00000000" w:rsidRDefault="004579E0">
      <w:pPr>
        <w:pStyle w:val="NormalWeb"/>
        <w:spacing w:before="0" w:beforeAutospacing="0" w:after="0" w:afterAutospacing="0"/>
        <w:jc w:val="both"/>
        <w:divId w:val="1472868164"/>
        <w:rPr>
          <w:sz w:val="20"/>
          <w:szCs w:val="20"/>
        </w:rPr>
      </w:pPr>
      <w:r>
        <w:rPr>
          <w:sz w:val="20"/>
          <w:szCs w:val="20"/>
        </w:rPr>
        <w:t> </w:t>
      </w:r>
    </w:p>
    <w:p w14:paraId="1623B631" w14:textId="77777777" w:rsidR="00000000" w:rsidRDefault="004579E0">
      <w:pPr>
        <w:pStyle w:val="NormalWeb"/>
        <w:spacing w:before="0" w:beforeAutospacing="0" w:after="0" w:afterAutospacing="0"/>
        <w:jc w:val="both"/>
        <w:divId w:val="1472868164"/>
        <w:rPr>
          <w:sz w:val="20"/>
          <w:szCs w:val="20"/>
        </w:rPr>
      </w:pPr>
      <w:r>
        <w:rPr>
          <w:sz w:val="20"/>
          <w:szCs w:val="20"/>
        </w:rPr>
        <w:t xml:space="preserve">Revenue from COVID-19 testing was approximately $0.4 million and $1.1 million for the three months ended June 30, 2022, and 2021, respectively. The decrease was primarily due to lower COVID-19 testing sales. As the COVID-19 pandemic faded worldwide, </w:t>
      </w:r>
      <w:r>
        <w:rPr>
          <w:sz w:val="20"/>
          <w:szCs w:val="20"/>
        </w:rPr>
        <w:t>the need for testing has decreased as it relates to travel and business continuity. The Company’s CFO, Cecile Munnik said, “It is difficult to predict whether these conditions will be recurring given recent COVID-19 pandemic conditions but we are well posi</w:t>
      </w:r>
      <w:r>
        <w:rPr>
          <w:sz w:val="20"/>
          <w:szCs w:val="20"/>
        </w:rPr>
        <w:t xml:space="preserve">tioned to react if another COVID-19 outbreak occurs as we have built a reputation of being a reliable partner for COVID-19 testing solutions. We have built reputable relationships with well-known media productions companies and these relationships provide </w:t>
      </w:r>
      <w:r>
        <w:rPr>
          <w:sz w:val="20"/>
          <w:szCs w:val="20"/>
        </w:rPr>
        <w:t>us with recurring COVID-19 testing revenue.”</w:t>
      </w:r>
    </w:p>
    <w:p w14:paraId="731120E2" w14:textId="77777777" w:rsidR="00000000" w:rsidRDefault="004579E0">
      <w:pPr>
        <w:pStyle w:val="NormalWeb"/>
        <w:spacing w:before="0" w:beforeAutospacing="0" w:after="0" w:afterAutospacing="0"/>
        <w:jc w:val="both"/>
        <w:divId w:val="1472868164"/>
        <w:rPr>
          <w:sz w:val="20"/>
          <w:szCs w:val="20"/>
        </w:rPr>
      </w:pPr>
      <w:r>
        <w:rPr>
          <w:sz w:val="20"/>
          <w:szCs w:val="20"/>
        </w:rPr>
        <w:t> </w:t>
      </w:r>
    </w:p>
    <w:p w14:paraId="732768F2" w14:textId="77777777" w:rsidR="00000000" w:rsidRDefault="004579E0">
      <w:pPr>
        <w:pStyle w:val="NormalWeb"/>
        <w:spacing w:before="0" w:beforeAutospacing="0" w:after="0" w:afterAutospacing="0"/>
        <w:jc w:val="both"/>
        <w:divId w:val="1472868164"/>
        <w:rPr>
          <w:sz w:val="20"/>
          <w:szCs w:val="20"/>
        </w:rPr>
      </w:pPr>
      <w:r>
        <w:rPr>
          <w:sz w:val="20"/>
          <w:szCs w:val="20"/>
        </w:rPr>
        <w:t>340B contract revenue for the three months ended June 30, 2022 was flat as compared to the same period in 2021.</w:t>
      </w:r>
    </w:p>
    <w:p w14:paraId="49F20D04" w14:textId="77777777" w:rsidR="00000000" w:rsidRDefault="004579E0">
      <w:pPr>
        <w:pStyle w:val="NormalWeb"/>
        <w:spacing w:before="0" w:beforeAutospacing="0" w:after="0" w:afterAutospacing="0"/>
        <w:jc w:val="both"/>
        <w:divId w:val="1472868164"/>
        <w:rPr>
          <w:sz w:val="20"/>
          <w:szCs w:val="20"/>
        </w:rPr>
      </w:pPr>
      <w:r>
        <w:rPr>
          <w:sz w:val="20"/>
          <w:szCs w:val="20"/>
        </w:rPr>
        <w:t> </w:t>
      </w:r>
    </w:p>
    <w:p w14:paraId="65EA2B17" w14:textId="77777777" w:rsidR="00000000" w:rsidRDefault="004579E0">
      <w:pPr>
        <w:pStyle w:val="NormalWeb"/>
        <w:spacing w:before="0" w:beforeAutospacing="0" w:after="0" w:afterAutospacing="0"/>
        <w:jc w:val="both"/>
        <w:divId w:val="1472868164"/>
        <w:rPr>
          <w:sz w:val="20"/>
          <w:szCs w:val="20"/>
        </w:rPr>
      </w:pPr>
      <w:r>
        <w:rPr>
          <w:sz w:val="20"/>
          <w:szCs w:val="20"/>
        </w:rPr>
        <w:t xml:space="preserve">Gross </w:t>
      </w:r>
      <w:r>
        <w:rPr>
          <w:sz w:val="20"/>
          <w:szCs w:val="20"/>
        </w:rPr>
        <w:t>profit margins decreased from 27% for the three months ended June 30, 2021, to 20% when compared to the same period in 2022. The 7% period over period decrease is due to the decrease in COVID-19 testing revenues, which have significantly higher margins tha</w:t>
      </w:r>
      <w:r>
        <w:rPr>
          <w:sz w:val="20"/>
          <w:szCs w:val="20"/>
        </w:rPr>
        <w:t>n pharmacy operations.</w:t>
      </w:r>
    </w:p>
    <w:p w14:paraId="63840CFC" w14:textId="77777777" w:rsidR="00000000" w:rsidRDefault="004579E0">
      <w:pPr>
        <w:pStyle w:val="NormalWeb"/>
        <w:spacing w:before="0" w:beforeAutospacing="0" w:after="0" w:afterAutospacing="0"/>
        <w:jc w:val="both"/>
        <w:divId w:val="147286816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000000" w14:paraId="1766ADD3" w14:textId="77777777">
        <w:trPr>
          <w:divId w:val="2030910452"/>
        </w:trPr>
        <w:tc>
          <w:tcPr>
            <w:tcW w:w="5000" w:type="pct"/>
            <w:hideMark/>
          </w:tcPr>
          <w:p w14:paraId="5BF31482" w14:textId="77777777" w:rsidR="00000000" w:rsidRDefault="004579E0">
            <w:pPr>
              <w:rPr>
                <w:rFonts w:eastAsia="Times New Roman"/>
                <w:sz w:val="20"/>
                <w:szCs w:val="20"/>
              </w:rPr>
            </w:pPr>
            <w:r>
              <w:rPr>
                <w:rFonts w:eastAsia="Times New Roman"/>
                <w:sz w:val="20"/>
                <w:szCs w:val="20"/>
              </w:rPr>
              <w:t> </w:t>
            </w:r>
          </w:p>
        </w:tc>
      </w:tr>
    </w:tbl>
    <w:p w14:paraId="59272F06" w14:textId="77777777" w:rsidR="00000000" w:rsidRDefault="004579E0">
      <w:pPr>
        <w:pStyle w:val="NormalWeb"/>
        <w:spacing w:before="0" w:beforeAutospacing="0" w:after="0" w:afterAutospacing="0"/>
        <w:divId w:val="221455053"/>
        <w:rPr>
          <w:sz w:val="20"/>
          <w:szCs w:val="20"/>
        </w:rPr>
      </w:pPr>
      <w:r>
        <w:rPr>
          <w:sz w:val="20"/>
          <w:szCs w:val="20"/>
        </w:rPr>
        <w:t> </w:t>
      </w:r>
    </w:p>
    <w:p w14:paraId="4F43DBEF" w14:textId="77777777" w:rsidR="00000000" w:rsidRDefault="004579E0">
      <w:pPr>
        <w:pStyle w:val="NormalWeb"/>
        <w:spacing w:before="0" w:beforeAutospacing="0" w:after="0" w:afterAutospacing="0"/>
        <w:jc w:val="both"/>
        <w:divId w:val="1472868164"/>
        <w:rPr>
          <w:sz w:val="20"/>
          <w:szCs w:val="20"/>
        </w:rPr>
      </w:pPr>
      <w:r>
        <w:rPr>
          <w:sz w:val="20"/>
          <w:szCs w:val="20"/>
        </w:rPr>
        <w:t> </w:t>
      </w:r>
    </w:p>
    <w:p w14:paraId="79594918" w14:textId="77777777" w:rsidR="00000000" w:rsidRDefault="004579E0">
      <w:pPr>
        <w:pStyle w:val="NormalWeb"/>
        <w:spacing w:before="0" w:beforeAutospacing="0" w:after="0" w:afterAutospacing="0"/>
        <w:jc w:val="both"/>
        <w:divId w:val="1472868164"/>
        <w:rPr>
          <w:sz w:val="20"/>
          <w:szCs w:val="20"/>
        </w:rPr>
      </w:pPr>
      <w:r>
        <w:rPr>
          <w:sz w:val="20"/>
          <w:szCs w:val="20"/>
        </w:rPr>
        <w:t>The loss from operations increased by approximately $12,000 for the three months ended June 30, 2022, when compared to the same period in 2021, due to the decrease in COVID-19 testing revenues, which was offset by an increas</w:t>
      </w:r>
      <w:r>
        <w:rPr>
          <w:sz w:val="20"/>
          <w:szCs w:val="20"/>
        </w:rPr>
        <w:t>e in prescription revenue and a decrease in overall operating expenses.</w:t>
      </w:r>
    </w:p>
    <w:p w14:paraId="715625C9" w14:textId="77777777" w:rsidR="00000000" w:rsidRDefault="004579E0">
      <w:pPr>
        <w:pStyle w:val="NormalWeb"/>
        <w:spacing w:before="0" w:beforeAutospacing="0" w:after="0" w:afterAutospacing="0"/>
        <w:jc w:val="both"/>
        <w:divId w:val="1472868164"/>
        <w:rPr>
          <w:sz w:val="20"/>
          <w:szCs w:val="20"/>
        </w:rPr>
      </w:pPr>
      <w:r>
        <w:rPr>
          <w:sz w:val="20"/>
          <w:szCs w:val="20"/>
        </w:rPr>
        <w:t> </w:t>
      </w:r>
    </w:p>
    <w:p w14:paraId="10F48AD5" w14:textId="77777777" w:rsidR="00000000" w:rsidRDefault="004579E0">
      <w:pPr>
        <w:pStyle w:val="NormalWeb"/>
        <w:spacing w:before="0" w:beforeAutospacing="0" w:after="0" w:afterAutospacing="0"/>
        <w:jc w:val="both"/>
        <w:divId w:val="1472868164"/>
        <w:rPr>
          <w:sz w:val="20"/>
          <w:szCs w:val="20"/>
        </w:rPr>
      </w:pPr>
      <w:r>
        <w:rPr>
          <w:sz w:val="20"/>
          <w:szCs w:val="20"/>
        </w:rPr>
        <w:t>During the earnings call, Birute Norkute, the Company’s COO said “We are pleased to report that our second quarter activities have built upon and continued the momentum from our firs</w:t>
      </w:r>
      <w:r>
        <w:rPr>
          <w:sz w:val="20"/>
          <w:szCs w:val="20"/>
        </w:rPr>
        <w:t>t quarter performance from all our business segments. Our focus on growth and operational excellence has allowed us to retain a status of performance as a Five-Star pharmacy, which will maximize our reimbursements and will allow us to earn performance bonu</w:t>
      </w:r>
      <w:r>
        <w:rPr>
          <w:sz w:val="20"/>
          <w:szCs w:val="20"/>
        </w:rPr>
        <w:t>ses with certain payors. This positive trend is already showing in our data. We also see a significant uptick in new patient acquisition numbers, more than in previous quarters, including patients testing positive for COVID-19 looking for the latest and mo</w:t>
      </w:r>
      <w:r>
        <w:rPr>
          <w:sz w:val="20"/>
          <w:szCs w:val="20"/>
        </w:rPr>
        <w:t>st effective therapies to treat the virus.”</w:t>
      </w:r>
    </w:p>
    <w:p w14:paraId="107EB5C5" w14:textId="77777777" w:rsidR="00000000" w:rsidRDefault="004579E0">
      <w:pPr>
        <w:pStyle w:val="NormalWeb"/>
        <w:spacing w:before="0" w:beforeAutospacing="0" w:after="0" w:afterAutospacing="0"/>
        <w:jc w:val="both"/>
        <w:divId w:val="1472868164"/>
        <w:rPr>
          <w:sz w:val="20"/>
          <w:szCs w:val="20"/>
        </w:rPr>
      </w:pPr>
      <w:r>
        <w:rPr>
          <w:sz w:val="20"/>
          <w:szCs w:val="20"/>
        </w:rPr>
        <w:t> </w:t>
      </w:r>
    </w:p>
    <w:p w14:paraId="680FF65E" w14:textId="77777777" w:rsidR="00000000" w:rsidRDefault="004579E0">
      <w:pPr>
        <w:pStyle w:val="NormalWeb"/>
        <w:spacing w:before="0" w:beforeAutospacing="0" w:after="0" w:afterAutospacing="0"/>
        <w:jc w:val="both"/>
        <w:divId w:val="1472868164"/>
        <w:rPr>
          <w:sz w:val="20"/>
          <w:szCs w:val="20"/>
        </w:rPr>
      </w:pPr>
      <w:r>
        <w:rPr>
          <w:b/>
          <w:bCs/>
          <w:sz w:val="20"/>
          <w:szCs w:val="20"/>
        </w:rPr>
        <w:t>Financial Results for Six Months Ended June 30, 2022</w:t>
      </w:r>
    </w:p>
    <w:p w14:paraId="476B7001" w14:textId="77777777" w:rsidR="00000000" w:rsidRDefault="004579E0">
      <w:pPr>
        <w:pStyle w:val="NormalWeb"/>
        <w:spacing w:before="0" w:beforeAutospacing="0" w:after="0" w:afterAutospacing="0"/>
        <w:jc w:val="both"/>
        <w:divId w:val="1472868164"/>
        <w:rPr>
          <w:sz w:val="20"/>
          <w:szCs w:val="20"/>
        </w:rPr>
      </w:pPr>
      <w:r>
        <w:rPr>
          <w:b/>
          <w:bCs/>
          <w:sz w:val="20"/>
          <w:szCs w:val="20"/>
        </w:rPr>
        <w:t> </w:t>
      </w:r>
    </w:p>
    <w:p w14:paraId="7FB4B9DD" w14:textId="77777777" w:rsidR="00000000" w:rsidRDefault="004579E0">
      <w:pPr>
        <w:pStyle w:val="NormalWeb"/>
        <w:spacing w:before="0" w:beforeAutospacing="0" w:after="0" w:afterAutospacing="0"/>
        <w:jc w:val="both"/>
        <w:divId w:val="1472868164"/>
        <w:rPr>
          <w:sz w:val="20"/>
          <w:szCs w:val="20"/>
        </w:rPr>
      </w:pPr>
      <w:r>
        <w:rPr>
          <w:sz w:val="20"/>
          <w:szCs w:val="20"/>
        </w:rPr>
        <w:t>For the six months ended June 30, 2022 and 2021, the Company recognized overall revenue from operations of approximately $20.0 million and $19.2 million, r</w:t>
      </w:r>
      <w:r>
        <w:rPr>
          <w:sz w:val="20"/>
          <w:szCs w:val="20"/>
        </w:rPr>
        <w:t>espectively, a 4% year over year increase. Prescription revenue for the six months ended June 30, 2022 was approximately $17.9 million when compared to $16.8 million the same period in 2021, a 6% period over period increase.</w:t>
      </w:r>
    </w:p>
    <w:p w14:paraId="534B5BE1" w14:textId="77777777" w:rsidR="00000000" w:rsidRDefault="004579E0">
      <w:pPr>
        <w:pStyle w:val="NormalWeb"/>
        <w:spacing w:before="0" w:beforeAutospacing="0" w:after="0" w:afterAutospacing="0"/>
        <w:jc w:val="both"/>
        <w:divId w:val="1472868164"/>
        <w:rPr>
          <w:sz w:val="20"/>
          <w:szCs w:val="20"/>
        </w:rPr>
      </w:pPr>
      <w:r>
        <w:rPr>
          <w:sz w:val="20"/>
          <w:szCs w:val="20"/>
        </w:rPr>
        <w:t> </w:t>
      </w:r>
    </w:p>
    <w:p w14:paraId="0D10A5AD" w14:textId="77777777" w:rsidR="00000000" w:rsidRDefault="004579E0">
      <w:pPr>
        <w:pStyle w:val="NormalWeb"/>
        <w:spacing w:before="0" w:beforeAutospacing="0" w:after="0" w:afterAutospacing="0"/>
        <w:jc w:val="both"/>
        <w:divId w:val="1472868164"/>
        <w:rPr>
          <w:sz w:val="20"/>
          <w:szCs w:val="20"/>
        </w:rPr>
      </w:pPr>
      <w:r>
        <w:rPr>
          <w:sz w:val="20"/>
          <w:szCs w:val="20"/>
        </w:rPr>
        <w:t>The Company’s pharmacy busine</w:t>
      </w:r>
      <w:r>
        <w:rPr>
          <w:sz w:val="20"/>
          <w:szCs w:val="20"/>
        </w:rPr>
        <w:t>ss has filled approximately 229,000 and 223,000 prescriptions during the six months ended June 30, 2022, and 2021, respectively, a 3% period over period increase in the number of prescriptions filled. The Company’s management believes this trend will conti</w:t>
      </w:r>
      <w:r>
        <w:rPr>
          <w:sz w:val="20"/>
          <w:szCs w:val="20"/>
        </w:rPr>
        <w:t>nue through the remainder of the year as the medication adherence measures begin to impact providers performance and their future potential monetary incentives, which are tied to their patient’s adherence measures.</w:t>
      </w:r>
    </w:p>
    <w:p w14:paraId="52B096A4" w14:textId="77777777" w:rsidR="00000000" w:rsidRDefault="004579E0">
      <w:pPr>
        <w:pStyle w:val="NormalWeb"/>
        <w:spacing w:before="0" w:beforeAutospacing="0" w:after="0" w:afterAutospacing="0"/>
        <w:jc w:val="both"/>
        <w:divId w:val="1472868164"/>
        <w:rPr>
          <w:sz w:val="20"/>
          <w:szCs w:val="20"/>
        </w:rPr>
      </w:pPr>
      <w:r>
        <w:rPr>
          <w:sz w:val="20"/>
          <w:szCs w:val="20"/>
        </w:rPr>
        <w:t> </w:t>
      </w:r>
    </w:p>
    <w:p w14:paraId="5B9005A4" w14:textId="77777777" w:rsidR="00000000" w:rsidRDefault="004579E0">
      <w:pPr>
        <w:pStyle w:val="NormalWeb"/>
        <w:spacing w:before="0" w:beforeAutospacing="0" w:after="0" w:afterAutospacing="0"/>
        <w:jc w:val="both"/>
        <w:divId w:val="1472868164"/>
        <w:rPr>
          <w:sz w:val="20"/>
          <w:szCs w:val="20"/>
        </w:rPr>
      </w:pPr>
      <w:r>
        <w:rPr>
          <w:sz w:val="20"/>
          <w:szCs w:val="20"/>
        </w:rPr>
        <w:t>Revenue from COVID-19 testing was appro</w:t>
      </w:r>
      <w:r>
        <w:rPr>
          <w:sz w:val="20"/>
          <w:szCs w:val="20"/>
        </w:rPr>
        <w:t>ximately $1.7 million and $1.6 million for the six months ended June 30, 2022, and 2021, respectively. The Company recognized record COVID-19 testing revenue in January 2022 as the country was dealing with the Delta and Omicron outbreak during that period.</w:t>
      </w:r>
      <w:r>
        <w:rPr>
          <w:sz w:val="20"/>
          <w:szCs w:val="20"/>
        </w:rPr>
        <w:t xml:space="preserve"> Since January 2022 the demand for COVID-19 testing has slowed down as the need for testing has decreased as it relates to travel and business continuity.</w:t>
      </w:r>
    </w:p>
    <w:p w14:paraId="3F354C47" w14:textId="77777777" w:rsidR="00000000" w:rsidRDefault="004579E0">
      <w:pPr>
        <w:pStyle w:val="NormalWeb"/>
        <w:spacing w:before="0" w:beforeAutospacing="0" w:after="0" w:afterAutospacing="0"/>
        <w:jc w:val="both"/>
        <w:divId w:val="1472868164"/>
        <w:rPr>
          <w:sz w:val="20"/>
          <w:szCs w:val="20"/>
        </w:rPr>
      </w:pPr>
      <w:r>
        <w:rPr>
          <w:sz w:val="20"/>
          <w:szCs w:val="20"/>
        </w:rPr>
        <w:t> </w:t>
      </w:r>
    </w:p>
    <w:p w14:paraId="7ABC289D" w14:textId="77777777" w:rsidR="00000000" w:rsidRDefault="004579E0">
      <w:pPr>
        <w:pStyle w:val="NormalWeb"/>
        <w:spacing w:before="0" w:beforeAutospacing="0" w:after="0" w:afterAutospacing="0"/>
        <w:jc w:val="both"/>
        <w:divId w:val="1472868164"/>
        <w:rPr>
          <w:sz w:val="20"/>
          <w:szCs w:val="20"/>
        </w:rPr>
      </w:pPr>
      <w:r>
        <w:rPr>
          <w:sz w:val="20"/>
          <w:szCs w:val="20"/>
        </w:rPr>
        <w:lastRenderedPageBreak/>
        <w:t>Gross profit margins decreased from 26% for the six months ended June 30, 2021, to 22% when compare</w:t>
      </w:r>
      <w:r>
        <w:rPr>
          <w:sz w:val="20"/>
          <w:szCs w:val="20"/>
        </w:rPr>
        <w:t>d to the same period in 2022. The 4% period over period decrease is due to the decrease in COVID-19 testing revenues. which have significantly higher margins than pharmacy operations.</w:t>
      </w:r>
    </w:p>
    <w:p w14:paraId="1F6F13A9" w14:textId="77777777" w:rsidR="00000000" w:rsidRDefault="004579E0">
      <w:pPr>
        <w:pStyle w:val="NormalWeb"/>
        <w:spacing w:before="0" w:beforeAutospacing="0" w:after="0" w:afterAutospacing="0"/>
        <w:jc w:val="both"/>
        <w:divId w:val="147286816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000000" w14:paraId="7C0AB40E" w14:textId="77777777">
        <w:trPr>
          <w:divId w:val="1434129459"/>
        </w:trPr>
        <w:tc>
          <w:tcPr>
            <w:tcW w:w="5000" w:type="pct"/>
            <w:hideMark/>
          </w:tcPr>
          <w:p w14:paraId="0352015B" w14:textId="77777777" w:rsidR="00000000" w:rsidRDefault="004579E0">
            <w:pPr>
              <w:rPr>
                <w:rFonts w:eastAsia="Times New Roman"/>
                <w:sz w:val="20"/>
                <w:szCs w:val="20"/>
              </w:rPr>
            </w:pPr>
            <w:r>
              <w:rPr>
                <w:rFonts w:eastAsia="Times New Roman"/>
                <w:sz w:val="20"/>
                <w:szCs w:val="20"/>
              </w:rPr>
              <w:t> </w:t>
            </w:r>
          </w:p>
        </w:tc>
      </w:tr>
    </w:tbl>
    <w:p w14:paraId="41AA7F8A" w14:textId="77777777" w:rsidR="00000000" w:rsidRDefault="004579E0">
      <w:pPr>
        <w:pStyle w:val="NormalWeb"/>
        <w:spacing w:before="0" w:beforeAutospacing="0" w:after="0" w:afterAutospacing="0"/>
        <w:divId w:val="1676573119"/>
        <w:rPr>
          <w:sz w:val="20"/>
          <w:szCs w:val="20"/>
        </w:rPr>
      </w:pPr>
      <w:r>
        <w:rPr>
          <w:sz w:val="20"/>
          <w:szCs w:val="20"/>
        </w:rPr>
        <w:t> </w:t>
      </w:r>
    </w:p>
    <w:p w14:paraId="44EBA4AE" w14:textId="77777777" w:rsidR="00000000" w:rsidRDefault="004579E0">
      <w:pPr>
        <w:pStyle w:val="NormalWeb"/>
        <w:spacing w:before="0" w:beforeAutospacing="0" w:after="0" w:afterAutospacing="0"/>
        <w:jc w:val="both"/>
        <w:divId w:val="1472868164"/>
        <w:rPr>
          <w:sz w:val="20"/>
          <w:szCs w:val="20"/>
        </w:rPr>
      </w:pPr>
      <w:r>
        <w:rPr>
          <w:sz w:val="20"/>
          <w:szCs w:val="20"/>
        </w:rPr>
        <w:t> </w:t>
      </w:r>
    </w:p>
    <w:p w14:paraId="1F196EFF" w14:textId="77777777" w:rsidR="00000000" w:rsidRDefault="004579E0">
      <w:pPr>
        <w:pStyle w:val="NormalWeb"/>
        <w:spacing w:before="0" w:beforeAutospacing="0" w:after="0" w:afterAutospacing="0"/>
        <w:jc w:val="both"/>
        <w:divId w:val="1472868164"/>
        <w:rPr>
          <w:sz w:val="20"/>
          <w:szCs w:val="20"/>
        </w:rPr>
      </w:pPr>
      <w:r>
        <w:rPr>
          <w:sz w:val="20"/>
          <w:szCs w:val="20"/>
        </w:rPr>
        <w:t xml:space="preserve">The </w:t>
      </w:r>
      <w:r>
        <w:rPr>
          <w:sz w:val="20"/>
          <w:szCs w:val="20"/>
        </w:rPr>
        <w:t>loss from operations decreased by approximately $0.5 million for the six months ended June 30, 2022, when compared to the same period in 2021, due to the increase in pharmacy revenue, decrease in overall operating expenses, which was offset by a decrease i</w:t>
      </w:r>
      <w:r>
        <w:rPr>
          <w:sz w:val="20"/>
          <w:szCs w:val="20"/>
        </w:rPr>
        <w:t>n 340B contract revenue.</w:t>
      </w:r>
    </w:p>
    <w:p w14:paraId="2DC3E090" w14:textId="77777777" w:rsidR="00000000" w:rsidRDefault="004579E0">
      <w:pPr>
        <w:pStyle w:val="NormalWeb"/>
        <w:spacing w:before="0" w:beforeAutospacing="0" w:after="0" w:afterAutospacing="0"/>
        <w:jc w:val="both"/>
        <w:divId w:val="1472868164"/>
        <w:rPr>
          <w:sz w:val="20"/>
          <w:szCs w:val="20"/>
        </w:rPr>
      </w:pPr>
      <w:r>
        <w:rPr>
          <w:sz w:val="20"/>
          <w:szCs w:val="20"/>
        </w:rPr>
        <w:t> </w:t>
      </w:r>
    </w:p>
    <w:p w14:paraId="4E8AC96E" w14:textId="77777777" w:rsidR="00000000" w:rsidRDefault="004579E0">
      <w:pPr>
        <w:pStyle w:val="NormalWeb"/>
        <w:shd w:val="clear" w:color="auto" w:fill="FFFFFF"/>
        <w:spacing w:before="0" w:beforeAutospacing="0" w:after="0" w:afterAutospacing="0"/>
        <w:jc w:val="both"/>
        <w:divId w:val="1472868164"/>
        <w:rPr>
          <w:sz w:val="20"/>
          <w:szCs w:val="20"/>
        </w:rPr>
      </w:pPr>
      <w:r>
        <w:rPr>
          <w:sz w:val="20"/>
          <w:szCs w:val="20"/>
        </w:rPr>
        <w:t>Mr. Weisberg, concluded, “Our outlook for the remainder of 2022 and beyond is positive. We continue our progress towards diversification and expansion of our business lines in long-term care, chronic care management and remote pa</w:t>
      </w:r>
      <w:r>
        <w:rPr>
          <w:sz w:val="20"/>
          <w:szCs w:val="20"/>
        </w:rPr>
        <w:t>tient monitoring and development of our data platforms in our ClearMetrX subsidiary, and to achieve other strategic goals such as widening our geographic markets that we serve. We are endlessly grateful to our shareholders for their continued confidence an</w:t>
      </w:r>
      <w:r>
        <w:rPr>
          <w:sz w:val="20"/>
          <w:szCs w:val="20"/>
        </w:rPr>
        <w:t>d support as we continue on our path for a record breaking 2022.”</w:t>
      </w:r>
    </w:p>
    <w:p w14:paraId="3D5E67FD" w14:textId="77777777" w:rsidR="00000000" w:rsidRDefault="004579E0">
      <w:pPr>
        <w:pStyle w:val="NormalWeb"/>
        <w:shd w:val="clear" w:color="auto" w:fill="FFFFFF"/>
        <w:spacing w:before="0" w:beforeAutospacing="0" w:after="0" w:afterAutospacing="0"/>
        <w:jc w:val="both"/>
        <w:divId w:val="1472868164"/>
        <w:rPr>
          <w:sz w:val="20"/>
          <w:szCs w:val="20"/>
        </w:rPr>
      </w:pPr>
      <w:r>
        <w:rPr>
          <w:sz w:val="20"/>
          <w:szCs w:val="20"/>
        </w:rPr>
        <w:t> </w:t>
      </w:r>
    </w:p>
    <w:p w14:paraId="69C82562" w14:textId="77777777" w:rsidR="00000000" w:rsidRDefault="004579E0">
      <w:pPr>
        <w:pStyle w:val="NormalWeb"/>
        <w:spacing w:before="0" w:beforeAutospacing="0" w:after="0" w:afterAutospacing="0"/>
        <w:jc w:val="both"/>
        <w:divId w:val="1472868164"/>
        <w:rPr>
          <w:sz w:val="20"/>
          <w:szCs w:val="20"/>
        </w:rPr>
      </w:pPr>
      <w:r>
        <w:rPr>
          <w:b/>
          <w:bCs/>
          <w:sz w:val="20"/>
          <w:szCs w:val="20"/>
        </w:rPr>
        <w:t>Progressive Care, Inc.</w:t>
      </w:r>
    </w:p>
    <w:p w14:paraId="3E4EFD97" w14:textId="77777777" w:rsidR="00000000" w:rsidRDefault="004579E0">
      <w:pPr>
        <w:pStyle w:val="NormalWeb"/>
        <w:spacing w:before="0" w:beforeAutospacing="0" w:after="0" w:afterAutospacing="0"/>
        <w:jc w:val="both"/>
        <w:divId w:val="1472868164"/>
        <w:rPr>
          <w:sz w:val="20"/>
          <w:szCs w:val="20"/>
        </w:rPr>
      </w:pPr>
      <w:r>
        <w:rPr>
          <w:b/>
          <w:bCs/>
          <w:sz w:val="20"/>
          <w:szCs w:val="20"/>
        </w:rPr>
        <w:t> </w:t>
      </w:r>
    </w:p>
    <w:p w14:paraId="77634D4A" w14:textId="77777777" w:rsidR="00000000" w:rsidRDefault="004579E0">
      <w:pPr>
        <w:pStyle w:val="NormalWeb"/>
        <w:spacing w:before="0" w:beforeAutospacing="0" w:after="0" w:afterAutospacing="0"/>
        <w:jc w:val="both"/>
        <w:divId w:val="1472868164"/>
        <w:rPr>
          <w:sz w:val="20"/>
          <w:szCs w:val="20"/>
        </w:rPr>
      </w:pPr>
      <w:r>
        <w:rPr>
          <w:sz w:val="20"/>
          <w:szCs w:val="20"/>
          <w:shd w:val="clear" w:color="auto" w:fill="FFFFFF"/>
        </w:rPr>
        <w:t xml:space="preserve">Progressive Care, Inc. </w:t>
      </w:r>
      <w:r>
        <w:rPr>
          <w:sz w:val="20"/>
          <w:szCs w:val="20"/>
        </w:rPr>
        <w:t xml:space="preserve">(OTCQB: </w:t>
      </w:r>
      <w:r>
        <w:rPr>
          <w:sz w:val="20"/>
          <w:szCs w:val="20"/>
          <w:u w:val="single"/>
        </w:rPr>
        <w:t>RXMD</w:t>
      </w:r>
      <w:r>
        <w:rPr>
          <w:sz w:val="20"/>
          <w:szCs w:val="20"/>
        </w:rPr>
        <w:t xml:space="preserve">), through its subsidiaries, is a Florida health services organization and provider of prescription pharmaceuticals, compounded </w:t>
      </w:r>
      <w:r>
        <w:rPr>
          <w:sz w:val="20"/>
          <w:szCs w:val="20"/>
        </w:rPr>
        <w:t>medications, provider of tele-pharmacy services, the sale of anti-retroviral medications, medication therapy management (MTM), the supply of prescription medications to long-term care facilities, and health practice risk management.</w:t>
      </w:r>
    </w:p>
    <w:p w14:paraId="3798FC01" w14:textId="77777777" w:rsidR="00000000" w:rsidRDefault="004579E0">
      <w:pPr>
        <w:pStyle w:val="NormalWeb"/>
        <w:spacing w:before="0" w:beforeAutospacing="0" w:after="0" w:afterAutospacing="0"/>
        <w:jc w:val="both"/>
        <w:divId w:val="1472868164"/>
        <w:rPr>
          <w:sz w:val="20"/>
          <w:szCs w:val="20"/>
        </w:rPr>
      </w:pPr>
      <w:r>
        <w:rPr>
          <w:sz w:val="20"/>
          <w:szCs w:val="20"/>
        </w:rPr>
        <w:t> </w:t>
      </w:r>
    </w:p>
    <w:p w14:paraId="03089067" w14:textId="77777777" w:rsidR="00000000" w:rsidRDefault="004579E0">
      <w:pPr>
        <w:pStyle w:val="NormalWeb"/>
        <w:spacing w:before="0" w:beforeAutospacing="0" w:after="0" w:afterAutospacing="0"/>
        <w:jc w:val="both"/>
        <w:divId w:val="1472868164"/>
        <w:rPr>
          <w:sz w:val="20"/>
          <w:szCs w:val="20"/>
        </w:rPr>
      </w:pPr>
      <w:r>
        <w:rPr>
          <w:sz w:val="20"/>
          <w:szCs w:val="20"/>
        </w:rPr>
        <w:t xml:space="preserve">For more information </w:t>
      </w:r>
      <w:r>
        <w:rPr>
          <w:sz w:val="20"/>
          <w:szCs w:val="20"/>
        </w:rPr>
        <w:t>about Progressive Care, please visit the company’s website.</w:t>
      </w:r>
    </w:p>
    <w:p w14:paraId="7A987151" w14:textId="77777777" w:rsidR="00000000" w:rsidRDefault="004579E0">
      <w:pPr>
        <w:pStyle w:val="NormalWeb"/>
        <w:spacing w:before="0" w:beforeAutospacing="0" w:after="0" w:afterAutospacing="0"/>
        <w:jc w:val="both"/>
        <w:divId w:val="1472868164"/>
        <w:rPr>
          <w:sz w:val="20"/>
          <w:szCs w:val="20"/>
        </w:rPr>
      </w:pPr>
      <w:r>
        <w:rPr>
          <w:sz w:val="20"/>
          <w:szCs w:val="20"/>
        </w:rPr>
        <w:t>Connect and stay in touch with us on social media:</w:t>
      </w:r>
    </w:p>
    <w:p w14:paraId="45402F95" w14:textId="77777777" w:rsidR="00000000" w:rsidRDefault="004579E0">
      <w:pPr>
        <w:pStyle w:val="NormalWeb"/>
        <w:spacing w:before="0" w:beforeAutospacing="0" w:after="0" w:afterAutospacing="0"/>
        <w:jc w:val="both"/>
        <w:divId w:val="1472868164"/>
        <w:rPr>
          <w:sz w:val="20"/>
          <w:szCs w:val="20"/>
        </w:rPr>
      </w:pPr>
      <w:r>
        <w:rPr>
          <w:sz w:val="20"/>
          <w:szCs w:val="20"/>
        </w:rPr>
        <w:t> </w:t>
      </w:r>
    </w:p>
    <w:p w14:paraId="4A6E3AF9" w14:textId="77777777" w:rsidR="00000000" w:rsidRDefault="004579E0">
      <w:pPr>
        <w:pStyle w:val="NormalWeb"/>
        <w:spacing w:before="0" w:beforeAutospacing="0" w:after="0" w:afterAutospacing="0"/>
        <w:jc w:val="both"/>
        <w:divId w:val="1472868164"/>
        <w:rPr>
          <w:sz w:val="20"/>
          <w:szCs w:val="20"/>
        </w:rPr>
      </w:pPr>
      <w:r>
        <w:rPr>
          <w:sz w:val="20"/>
          <w:szCs w:val="20"/>
        </w:rPr>
        <w:t>Progressive Care Inc.</w:t>
      </w:r>
    </w:p>
    <w:p w14:paraId="01D9461E" w14:textId="77777777" w:rsidR="00000000" w:rsidRDefault="004579E0">
      <w:pPr>
        <w:pStyle w:val="NormalWeb"/>
        <w:spacing w:before="0" w:beforeAutospacing="0" w:after="0" w:afterAutospacing="0"/>
        <w:jc w:val="both"/>
        <w:divId w:val="1472868164"/>
        <w:rPr>
          <w:sz w:val="20"/>
          <w:szCs w:val="20"/>
        </w:rPr>
      </w:pPr>
      <w:r>
        <w:rPr>
          <w:sz w:val="20"/>
          <w:szCs w:val="20"/>
        </w:rPr>
        <w:t> </w:t>
      </w:r>
    </w:p>
    <w:p w14:paraId="07639058" w14:textId="77777777" w:rsidR="00000000" w:rsidRDefault="004579E0">
      <w:pPr>
        <w:pStyle w:val="NormalWeb"/>
        <w:spacing w:before="0" w:beforeAutospacing="0" w:after="0" w:afterAutospacing="0"/>
        <w:jc w:val="both"/>
        <w:divId w:val="1472868164"/>
        <w:rPr>
          <w:sz w:val="20"/>
          <w:szCs w:val="20"/>
        </w:rPr>
      </w:pPr>
      <w:r>
        <w:rPr>
          <w:sz w:val="20"/>
          <w:szCs w:val="20"/>
          <w:u w:val="single"/>
        </w:rPr>
        <w:t>https://www.progressivecareus.com/</w:t>
      </w:r>
    </w:p>
    <w:p w14:paraId="11A5303A" w14:textId="77777777" w:rsidR="00000000" w:rsidRDefault="004579E0">
      <w:pPr>
        <w:pStyle w:val="NormalWeb"/>
        <w:spacing w:before="0" w:beforeAutospacing="0" w:after="0" w:afterAutospacing="0"/>
        <w:jc w:val="both"/>
        <w:divId w:val="1472868164"/>
        <w:rPr>
          <w:sz w:val="20"/>
          <w:szCs w:val="20"/>
        </w:rPr>
      </w:pPr>
      <w:r>
        <w:rPr>
          <w:sz w:val="20"/>
          <w:szCs w:val="20"/>
          <w:u w:val="single"/>
        </w:rPr>
        <w:t>https://twitter.com/ProgressCareUS</w:t>
      </w:r>
    </w:p>
    <w:p w14:paraId="0937EAA5" w14:textId="77777777" w:rsidR="00000000" w:rsidRDefault="004579E0">
      <w:pPr>
        <w:pStyle w:val="NormalWeb"/>
        <w:spacing w:before="0" w:beforeAutospacing="0" w:after="0" w:afterAutospacing="0"/>
        <w:jc w:val="both"/>
        <w:divId w:val="1472868164"/>
        <w:rPr>
          <w:sz w:val="20"/>
          <w:szCs w:val="20"/>
        </w:rPr>
      </w:pPr>
      <w:r>
        <w:rPr>
          <w:sz w:val="20"/>
          <w:szCs w:val="20"/>
        </w:rPr>
        <w:t> </w:t>
      </w:r>
    </w:p>
    <w:p w14:paraId="41316E68" w14:textId="77777777" w:rsidR="00000000" w:rsidRDefault="004579E0">
      <w:pPr>
        <w:pStyle w:val="NormalWeb"/>
        <w:spacing w:before="0" w:beforeAutospacing="0" w:after="0" w:afterAutospacing="0"/>
        <w:jc w:val="both"/>
        <w:divId w:val="1472868164"/>
        <w:rPr>
          <w:sz w:val="20"/>
          <w:szCs w:val="20"/>
        </w:rPr>
      </w:pPr>
      <w:r>
        <w:rPr>
          <w:sz w:val="20"/>
          <w:szCs w:val="20"/>
        </w:rPr>
        <w:t>PharmCoRx</w:t>
      </w:r>
    </w:p>
    <w:p w14:paraId="20655F4B" w14:textId="77777777" w:rsidR="00000000" w:rsidRDefault="004579E0">
      <w:pPr>
        <w:pStyle w:val="NormalWeb"/>
        <w:spacing w:before="0" w:beforeAutospacing="0" w:after="0" w:afterAutospacing="0"/>
        <w:jc w:val="both"/>
        <w:divId w:val="1472868164"/>
        <w:rPr>
          <w:sz w:val="20"/>
          <w:szCs w:val="20"/>
        </w:rPr>
      </w:pPr>
      <w:r>
        <w:rPr>
          <w:sz w:val="20"/>
          <w:szCs w:val="20"/>
        </w:rPr>
        <w:t> </w:t>
      </w:r>
    </w:p>
    <w:p w14:paraId="6C057166" w14:textId="77777777" w:rsidR="00000000" w:rsidRDefault="004579E0">
      <w:pPr>
        <w:pStyle w:val="NormalWeb"/>
        <w:spacing w:before="0" w:beforeAutospacing="0" w:after="0" w:afterAutospacing="0"/>
        <w:jc w:val="both"/>
        <w:divId w:val="1472868164"/>
        <w:rPr>
          <w:sz w:val="20"/>
          <w:szCs w:val="20"/>
        </w:rPr>
      </w:pPr>
      <w:r>
        <w:rPr>
          <w:sz w:val="20"/>
          <w:szCs w:val="20"/>
          <w:u w:val="single"/>
        </w:rPr>
        <w:t>https://www.pharmcorx.com/</w:t>
      </w:r>
    </w:p>
    <w:p w14:paraId="27DC35E4" w14:textId="77777777" w:rsidR="00000000" w:rsidRDefault="004579E0">
      <w:pPr>
        <w:pStyle w:val="NormalWeb"/>
        <w:spacing w:before="0" w:beforeAutospacing="0" w:after="0" w:afterAutospacing="0"/>
        <w:jc w:val="both"/>
        <w:divId w:val="1472868164"/>
        <w:rPr>
          <w:sz w:val="20"/>
          <w:szCs w:val="20"/>
        </w:rPr>
      </w:pPr>
      <w:r>
        <w:rPr>
          <w:sz w:val="20"/>
          <w:szCs w:val="20"/>
          <w:u w:val="single"/>
        </w:rPr>
        <w:t>https://twitter.com/PharmCoRx</w:t>
      </w:r>
    </w:p>
    <w:p w14:paraId="460C2B98" w14:textId="77777777" w:rsidR="00000000" w:rsidRDefault="004579E0">
      <w:pPr>
        <w:pStyle w:val="NormalWeb"/>
        <w:spacing w:before="0" w:beforeAutospacing="0" w:after="0" w:afterAutospacing="0"/>
        <w:jc w:val="both"/>
        <w:divId w:val="1472868164"/>
        <w:rPr>
          <w:sz w:val="20"/>
          <w:szCs w:val="20"/>
        </w:rPr>
      </w:pPr>
      <w:r>
        <w:rPr>
          <w:sz w:val="20"/>
          <w:szCs w:val="20"/>
        </w:rPr>
        <w:t> </w:t>
      </w:r>
    </w:p>
    <w:p w14:paraId="5BF12FCC" w14:textId="77777777" w:rsidR="00000000" w:rsidRDefault="004579E0">
      <w:pPr>
        <w:pStyle w:val="NormalWeb"/>
        <w:spacing w:before="0" w:beforeAutospacing="0" w:after="0" w:afterAutospacing="0"/>
        <w:jc w:val="both"/>
        <w:divId w:val="1472868164"/>
        <w:rPr>
          <w:sz w:val="20"/>
          <w:szCs w:val="20"/>
        </w:rPr>
      </w:pPr>
      <w:r>
        <w:rPr>
          <w:sz w:val="20"/>
          <w:szCs w:val="20"/>
        </w:rPr>
        <w:t>ClearMetrX</w:t>
      </w:r>
    </w:p>
    <w:p w14:paraId="4EC38D2F" w14:textId="77777777" w:rsidR="00000000" w:rsidRDefault="004579E0">
      <w:pPr>
        <w:pStyle w:val="NormalWeb"/>
        <w:spacing w:before="0" w:beforeAutospacing="0" w:after="0" w:afterAutospacing="0"/>
        <w:jc w:val="both"/>
        <w:divId w:val="1472868164"/>
        <w:rPr>
          <w:sz w:val="20"/>
          <w:szCs w:val="20"/>
        </w:rPr>
      </w:pPr>
      <w:r>
        <w:rPr>
          <w:sz w:val="20"/>
          <w:szCs w:val="20"/>
        </w:rPr>
        <w:t> </w:t>
      </w:r>
    </w:p>
    <w:p w14:paraId="3F0C2961" w14:textId="77777777" w:rsidR="00000000" w:rsidRDefault="004579E0">
      <w:pPr>
        <w:pStyle w:val="NormalWeb"/>
        <w:spacing w:before="0" w:beforeAutospacing="0" w:after="0" w:afterAutospacing="0"/>
        <w:jc w:val="both"/>
        <w:divId w:val="1472868164"/>
        <w:rPr>
          <w:sz w:val="20"/>
          <w:szCs w:val="20"/>
        </w:rPr>
      </w:pPr>
      <w:r>
        <w:rPr>
          <w:sz w:val="20"/>
          <w:szCs w:val="20"/>
          <w:u w:val="single"/>
        </w:rPr>
        <w:t>https://www.clearmetrx.com/</w:t>
      </w:r>
    </w:p>
    <w:p w14:paraId="509C37E4" w14:textId="77777777" w:rsidR="00000000" w:rsidRDefault="004579E0">
      <w:pPr>
        <w:pStyle w:val="NormalWeb"/>
        <w:spacing w:before="0" w:beforeAutospacing="0" w:after="0" w:afterAutospacing="0"/>
        <w:jc w:val="both"/>
        <w:divId w:val="1472868164"/>
        <w:rPr>
          <w:sz w:val="20"/>
          <w:szCs w:val="20"/>
        </w:rPr>
      </w:pPr>
      <w:r>
        <w:rPr>
          <w:sz w:val="20"/>
          <w:szCs w:val="20"/>
          <w:u w:val="single"/>
        </w:rPr>
        <w:t>https://www.facebook.com/clearmetrx/</w:t>
      </w:r>
    </w:p>
    <w:p w14:paraId="141914E0" w14:textId="77777777" w:rsidR="00000000" w:rsidRDefault="004579E0">
      <w:pPr>
        <w:pStyle w:val="NormalWeb"/>
        <w:spacing w:before="0" w:beforeAutospacing="0" w:after="0" w:afterAutospacing="0"/>
        <w:jc w:val="both"/>
        <w:divId w:val="1472868164"/>
        <w:rPr>
          <w:sz w:val="20"/>
          <w:szCs w:val="20"/>
        </w:rPr>
      </w:pPr>
      <w:r>
        <w:rPr>
          <w:sz w:val="20"/>
          <w:szCs w:val="20"/>
        </w:rPr>
        <w:t> </w:t>
      </w:r>
    </w:p>
    <w:p w14:paraId="21429032" w14:textId="77777777" w:rsidR="00000000" w:rsidRDefault="004579E0">
      <w:pPr>
        <w:pStyle w:val="NormalWeb"/>
        <w:spacing w:before="0" w:beforeAutospacing="0" w:after="0" w:afterAutospacing="0"/>
        <w:jc w:val="both"/>
        <w:divId w:val="1472868164"/>
        <w:rPr>
          <w:sz w:val="20"/>
          <w:szCs w:val="20"/>
        </w:rPr>
      </w:pPr>
      <w:r>
        <w:rPr>
          <w:b/>
          <w:bCs/>
          <w:sz w:val="20"/>
          <w:szCs w:val="20"/>
          <w:shd w:val="clear" w:color="auto" w:fill="FFFFFF"/>
        </w:rPr>
        <w:t>Forward-Looking Statements:</w:t>
      </w:r>
    </w:p>
    <w:p w14:paraId="11A29832" w14:textId="77777777" w:rsidR="00000000" w:rsidRDefault="004579E0">
      <w:pPr>
        <w:pStyle w:val="NormalWeb"/>
        <w:spacing w:before="0" w:beforeAutospacing="0" w:after="0" w:afterAutospacing="0"/>
        <w:jc w:val="both"/>
        <w:divId w:val="1472868164"/>
        <w:rPr>
          <w:sz w:val="20"/>
          <w:szCs w:val="20"/>
        </w:rPr>
      </w:pPr>
      <w:r>
        <w:rPr>
          <w:b/>
          <w:bCs/>
          <w:sz w:val="20"/>
          <w:szCs w:val="20"/>
        </w:rPr>
        <w:t> </w:t>
      </w:r>
    </w:p>
    <w:p w14:paraId="25B57B53" w14:textId="77777777" w:rsidR="00000000" w:rsidRDefault="004579E0">
      <w:pPr>
        <w:pStyle w:val="NormalWeb"/>
        <w:spacing w:before="0" w:beforeAutospacing="0" w:after="0" w:afterAutospacing="0"/>
        <w:jc w:val="both"/>
        <w:divId w:val="1472868164"/>
        <w:rPr>
          <w:sz w:val="20"/>
          <w:szCs w:val="20"/>
        </w:rPr>
      </w:pPr>
      <w:r>
        <w:rPr>
          <w:sz w:val="20"/>
          <w:szCs w:val="20"/>
          <w:shd w:val="clear" w:color="auto" w:fill="FFFFFF"/>
        </w:rPr>
        <w:t>Statements contained herein that are not based upon current or historical fact are forw</w:t>
      </w:r>
      <w:r>
        <w:rPr>
          <w:sz w:val="20"/>
          <w:szCs w:val="20"/>
          <w:shd w:val="clear" w:color="auto" w:fill="FFFFFF"/>
        </w:rPr>
        <w:t>ard-looking in nature and constitute forward-looking statements within the meaning of Section 27A of the Securities Act of 1933 and Section 21E of the Securities Exchange Act of 1934. Such forward-looking statements reflect the Company’s expectations about</w:t>
      </w:r>
      <w:r>
        <w:rPr>
          <w:sz w:val="20"/>
          <w:szCs w:val="20"/>
          <w:shd w:val="clear" w:color="auto" w:fill="FFFFFF"/>
        </w:rPr>
        <w:t xml:space="preserve"> its future operating results, performance, and opportunities that involve substantial risks and uncertainties. When used herein, the words “anticipate,” “believe,” “estimate,” “upcoming,” “plan,” “target,” “intend” and “expect” and similar expressions, as</w:t>
      </w:r>
      <w:r>
        <w:rPr>
          <w:sz w:val="20"/>
          <w:szCs w:val="20"/>
          <w:shd w:val="clear" w:color="auto" w:fill="FFFFFF"/>
        </w:rPr>
        <w:t xml:space="preserve"> they relate to Progressive Care Inc., its subsidiaries, or its management, are intended to identify such forward-looking statements. These forward-looking statements are based on information currently available to the Company and are subject to a number o</w:t>
      </w:r>
      <w:r>
        <w:rPr>
          <w:sz w:val="20"/>
          <w:szCs w:val="20"/>
          <w:shd w:val="clear" w:color="auto" w:fill="FFFFFF"/>
        </w:rPr>
        <w:t>f risks, uncertainties, and other factors that could cause the Company’s actual results, performance, prospects, and opportunities to differ materially from those expressed in, or implied by, these forward-looking statements.</w:t>
      </w:r>
    </w:p>
    <w:p w14:paraId="3E48EBBB" w14:textId="77777777" w:rsidR="00000000" w:rsidRDefault="004579E0">
      <w:pPr>
        <w:pStyle w:val="NormalWeb"/>
        <w:spacing w:before="0" w:beforeAutospacing="0" w:after="0" w:afterAutospacing="0"/>
        <w:jc w:val="both"/>
        <w:divId w:val="1472868164"/>
        <w:rPr>
          <w:sz w:val="20"/>
          <w:szCs w:val="20"/>
        </w:rPr>
      </w:pPr>
      <w:r>
        <w:rPr>
          <w:sz w:val="20"/>
          <w:szCs w:val="20"/>
        </w:rPr>
        <w:t> </w:t>
      </w:r>
    </w:p>
    <w:p w14:paraId="0E8830D7" w14:textId="77777777" w:rsidR="00000000" w:rsidRDefault="004579E0">
      <w:pPr>
        <w:pStyle w:val="NormalWeb"/>
        <w:spacing w:before="0" w:beforeAutospacing="0" w:after="0" w:afterAutospacing="0"/>
        <w:jc w:val="both"/>
        <w:divId w:val="1472868164"/>
        <w:rPr>
          <w:sz w:val="20"/>
          <w:szCs w:val="20"/>
        </w:rPr>
      </w:pPr>
      <w:r>
        <w:rPr>
          <w:b/>
          <w:bCs/>
          <w:sz w:val="20"/>
          <w:szCs w:val="20"/>
        </w:rPr>
        <w:t>Public Relations Contact:</w:t>
      </w:r>
    </w:p>
    <w:p w14:paraId="19C65BA9" w14:textId="77777777" w:rsidR="00000000" w:rsidRDefault="004579E0">
      <w:pPr>
        <w:pStyle w:val="NormalWeb"/>
        <w:spacing w:before="0" w:beforeAutospacing="0" w:after="0" w:afterAutospacing="0"/>
        <w:jc w:val="both"/>
        <w:divId w:val="1472868164"/>
        <w:rPr>
          <w:sz w:val="20"/>
          <w:szCs w:val="20"/>
        </w:rPr>
      </w:pPr>
      <w:r>
        <w:rPr>
          <w:b/>
          <w:bCs/>
          <w:sz w:val="20"/>
          <w:szCs w:val="20"/>
        </w:rPr>
        <w:t> </w:t>
      </w:r>
    </w:p>
    <w:p w14:paraId="69B714AB" w14:textId="77777777" w:rsidR="00000000" w:rsidRDefault="004579E0">
      <w:pPr>
        <w:pStyle w:val="NormalWeb"/>
        <w:spacing w:before="0" w:beforeAutospacing="0" w:after="0" w:afterAutospacing="0"/>
        <w:jc w:val="both"/>
        <w:divId w:val="1472868164"/>
        <w:rPr>
          <w:sz w:val="20"/>
          <w:szCs w:val="20"/>
        </w:rPr>
      </w:pPr>
      <w:r>
        <w:rPr>
          <w:sz w:val="20"/>
          <w:szCs w:val="20"/>
        </w:rPr>
        <w:t>Carlos Rangel</w:t>
      </w:r>
    </w:p>
    <w:p w14:paraId="2FA0DFC1" w14:textId="77777777" w:rsidR="00000000" w:rsidRDefault="004579E0">
      <w:pPr>
        <w:pStyle w:val="NormalWeb"/>
        <w:spacing w:before="0" w:beforeAutospacing="0" w:after="0" w:afterAutospacing="0"/>
        <w:jc w:val="both"/>
        <w:divId w:val="1472868164"/>
        <w:rPr>
          <w:sz w:val="20"/>
          <w:szCs w:val="20"/>
        </w:rPr>
      </w:pPr>
      <w:r>
        <w:rPr>
          <w:sz w:val="20"/>
          <w:szCs w:val="20"/>
          <w:u w:val="single"/>
        </w:rPr>
        <w:t>carlosr@pharmcorx.com</w:t>
      </w:r>
    </w:p>
    <w:p w14:paraId="49B4BDB6" w14:textId="77777777" w:rsidR="00000000" w:rsidRDefault="004579E0">
      <w:pPr>
        <w:pStyle w:val="NormalWeb"/>
        <w:spacing w:before="0" w:beforeAutospacing="0" w:after="0" w:afterAutospacing="0"/>
        <w:jc w:val="both"/>
        <w:divId w:val="1472868164"/>
        <w:rPr>
          <w:sz w:val="20"/>
          <w:szCs w:val="20"/>
        </w:rPr>
      </w:pPr>
      <w:r>
        <w:rPr>
          <w:sz w:val="20"/>
          <w:szCs w:val="20"/>
        </w:rPr>
        <w:t> </w:t>
      </w:r>
    </w:p>
    <w:p w14:paraId="35DEDDB6" w14:textId="77777777" w:rsidR="00000000" w:rsidRDefault="004579E0">
      <w:pPr>
        <w:pStyle w:val="NormalWeb"/>
        <w:spacing w:before="0" w:beforeAutospacing="0" w:after="0" w:afterAutospacing="0"/>
        <w:jc w:val="both"/>
        <w:divId w:val="1472868164"/>
        <w:rPr>
          <w:sz w:val="20"/>
          <w:szCs w:val="20"/>
        </w:rPr>
      </w:pPr>
      <w:r>
        <w:rPr>
          <w:b/>
          <w:bCs/>
          <w:sz w:val="20"/>
          <w:szCs w:val="20"/>
        </w:rPr>
        <w:t>Investor Relations Contact:</w:t>
      </w:r>
    </w:p>
    <w:p w14:paraId="41EC6CDA" w14:textId="77777777" w:rsidR="00000000" w:rsidRDefault="004579E0">
      <w:pPr>
        <w:pStyle w:val="NormalWeb"/>
        <w:spacing w:before="0" w:beforeAutospacing="0" w:after="0" w:afterAutospacing="0"/>
        <w:jc w:val="both"/>
        <w:divId w:val="1472868164"/>
        <w:rPr>
          <w:sz w:val="20"/>
          <w:szCs w:val="20"/>
        </w:rPr>
      </w:pPr>
      <w:r>
        <w:rPr>
          <w:b/>
          <w:bCs/>
          <w:sz w:val="20"/>
          <w:szCs w:val="20"/>
        </w:rPr>
        <w:t> </w:t>
      </w:r>
    </w:p>
    <w:p w14:paraId="2618C9F4" w14:textId="77777777" w:rsidR="00000000" w:rsidRDefault="004579E0">
      <w:pPr>
        <w:pStyle w:val="NormalWeb"/>
        <w:spacing w:before="0" w:beforeAutospacing="0" w:after="0" w:afterAutospacing="0"/>
        <w:jc w:val="both"/>
        <w:divId w:val="1472868164"/>
        <w:rPr>
          <w:sz w:val="20"/>
          <w:szCs w:val="20"/>
        </w:rPr>
      </w:pPr>
      <w:r>
        <w:rPr>
          <w:sz w:val="20"/>
          <w:szCs w:val="20"/>
        </w:rPr>
        <w:t>ClearThink Capital</w:t>
      </w:r>
    </w:p>
    <w:p w14:paraId="2008588E" w14:textId="77777777" w:rsidR="00000000" w:rsidRDefault="004579E0">
      <w:pPr>
        <w:pStyle w:val="NormalWeb"/>
        <w:spacing w:before="0" w:beforeAutospacing="0" w:after="0" w:afterAutospacing="0"/>
        <w:jc w:val="both"/>
        <w:divId w:val="1472868164"/>
        <w:rPr>
          <w:sz w:val="20"/>
          <w:szCs w:val="20"/>
        </w:rPr>
      </w:pPr>
      <w:r>
        <w:rPr>
          <w:sz w:val="20"/>
          <w:szCs w:val="20"/>
          <w:u w:val="single"/>
        </w:rPr>
        <w:t>nyc@clearthink.capital</w:t>
      </w:r>
    </w:p>
    <w:p w14:paraId="7B39FAED" w14:textId="77777777" w:rsidR="00000000" w:rsidRDefault="004579E0">
      <w:pPr>
        <w:pStyle w:val="NormalWeb"/>
        <w:spacing w:before="0" w:beforeAutospacing="0" w:after="0" w:afterAutospacing="0"/>
        <w:jc w:val="both"/>
        <w:divId w:val="1472868164"/>
        <w:rPr>
          <w:sz w:val="20"/>
          <w:szCs w:val="20"/>
        </w:rPr>
      </w:pPr>
      <w:r>
        <w:rPr>
          <w:sz w:val="20"/>
          <w:szCs w:val="20"/>
        </w:rPr>
        <w:t>p917-658-7878</w:t>
      </w:r>
    </w:p>
    <w:p w14:paraId="7A5C50E7" w14:textId="77777777" w:rsidR="00000000" w:rsidRDefault="004579E0">
      <w:pPr>
        <w:pStyle w:val="NormalWeb"/>
        <w:spacing w:before="0" w:beforeAutospacing="0" w:after="0" w:afterAutospacing="0"/>
        <w:jc w:val="both"/>
        <w:divId w:val="147286816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000000" w14:paraId="74B34025" w14:textId="77777777">
        <w:trPr>
          <w:divId w:val="1006319952"/>
        </w:trPr>
        <w:tc>
          <w:tcPr>
            <w:tcW w:w="5000" w:type="pct"/>
            <w:hideMark/>
          </w:tcPr>
          <w:p w14:paraId="4298A308" w14:textId="77777777" w:rsidR="00000000" w:rsidRDefault="004579E0">
            <w:pPr>
              <w:rPr>
                <w:rFonts w:eastAsia="Times New Roman"/>
                <w:sz w:val="20"/>
                <w:szCs w:val="20"/>
              </w:rPr>
            </w:pPr>
            <w:r>
              <w:rPr>
                <w:rFonts w:eastAsia="Times New Roman"/>
                <w:sz w:val="20"/>
                <w:szCs w:val="20"/>
              </w:rPr>
              <w:t> </w:t>
            </w:r>
          </w:p>
        </w:tc>
      </w:tr>
    </w:tbl>
    <w:p w14:paraId="1BB0CE45" w14:textId="77777777" w:rsidR="00000000" w:rsidRDefault="004579E0">
      <w:pPr>
        <w:pStyle w:val="NormalWeb"/>
        <w:spacing w:before="0" w:beforeAutospacing="0" w:after="0" w:afterAutospacing="0"/>
        <w:jc w:val="center"/>
        <w:divId w:val="1472868164"/>
        <w:rPr>
          <w:sz w:val="20"/>
          <w:szCs w:val="20"/>
        </w:rPr>
      </w:pPr>
      <w:r>
        <w:rPr>
          <w:b/>
          <w:bCs/>
          <w:sz w:val="20"/>
          <w:szCs w:val="20"/>
        </w:rP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579E0"/>
    <w:rsid w:val="0045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E7C57"/>
  <w15:chartTrackingRefBased/>
  <w15:docId w15:val="{265823E4-83DF-4647-9595-56B1FE9F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3294">
      <w:marLeft w:val="0"/>
      <w:marRight w:val="0"/>
      <w:marTop w:val="0"/>
      <w:marBottom w:val="0"/>
      <w:divBdr>
        <w:top w:val="none" w:sz="0" w:space="0" w:color="auto"/>
        <w:left w:val="none" w:sz="0" w:space="0" w:color="auto"/>
        <w:bottom w:val="none" w:sz="0" w:space="0" w:color="auto"/>
        <w:right w:val="none" w:sz="0" w:space="0" w:color="auto"/>
      </w:divBdr>
      <w:divsChild>
        <w:div w:id="1002855937">
          <w:marLeft w:val="0"/>
          <w:marRight w:val="0"/>
          <w:marTop w:val="0"/>
          <w:marBottom w:val="0"/>
          <w:divBdr>
            <w:top w:val="none" w:sz="0" w:space="0" w:color="auto"/>
            <w:left w:val="none" w:sz="0" w:space="0" w:color="auto"/>
            <w:bottom w:val="none" w:sz="0" w:space="0" w:color="auto"/>
            <w:right w:val="none" w:sz="0" w:space="0" w:color="auto"/>
          </w:divBdr>
        </w:div>
        <w:div w:id="120390808">
          <w:marLeft w:val="0"/>
          <w:marRight w:val="0"/>
          <w:marTop w:val="0"/>
          <w:marBottom w:val="0"/>
          <w:divBdr>
            <w:top w:val="none" w:sz="0" w:space="0" w:color="auto"/>
            <w:left w:val="none" w:sz="0" w:space="0" w:color="auto"/>
            <w:bottom w:val="none" w:sz="0" w:space="0" w:color="auto"/>
            <w:right w:val="none" w:sz="0" w:space="0" w:color="auto"/>
          </w:divBdr>
          <w:divsChild>
            <w:div w:id="1763453778">
              <w:marLeft w:val="0"/>
              <w:marRight w:val="0"/>
              <w:marTop w:val="0"/>
              <w:marBottom w:val="0"/>
              <w:divBdr>
                <w:top w:val="single" w:sz="36" w:space="0" w:color="000000"/>
                <w:left w:val="none" w:sz="0" w:space="0" w:color="auto"/>
                <w:bottom w:val="single" w:sz="12" w:space="0" w:color="000000"/>
                <w:right w:val="none" w:sz="0" w:space="0" w:color="auto"/>
              </w:divBdr>
            </w:div>
          </w:divsChild>
        </w:div>
        <w:div w:id="1091780994">
          <w:marLeft w:val="0"/>
          <w:marRight w:val="0"/>
          <w:marTop w:val="0"/>
          <w:marBottom w:val="0"/>
          <w:divBdr>
            <w:top w:val="none" w:sz="0" w:space="0" w:color="auto"/>
            <w:left w:val="none" w:sz="0" w:space="0" w:color="auto"/>
            <w:bottom w:val="none" w:sz="0" w:space="0" w:color="auto"/>
            <w:right w:val="none" w:sz="0" w:space="0" w:color="auto"/>
          </w:divBdr>
          <w:divsChild>
            <w:div w:id="829173495">
              <w:marLeft w:val="0"/>
              <w:marRight w:val="0"/>
              <w:marTop w:val="0"/>
              <w:marBottom w:val="0"/>
              <w:divBdr>
                <w:top w:val="single" w:sz="12" w:space="0" w:color="000000"/>
                <w:left w:val="none" w:sz="0" w:space="0" w:color="auto"/>
                <w:bottom w:val="none" w:sz="0" w:space="0" w:color="auto"/>
                <w:right w:val="none" w:sz="0" w:space="0" w:color="auto"/>
              </w:divBdr>
            </w:div>
          </w:divsChild>
        </w:div>
        <w:div w:id="1021854745">
          <w:marLeft w:val="0"/>
          <w:marRight w:val="0"/>
          <w:marTop w:val="0"/>
          <w:marBottom w:val="0"/>
          <w:divBdr>
            <w:top w:val="none" w:sz="0" w:space="0" w:color="auto"/>
            <w:left w:val="none" w:sz="0" w:space="0" w:color="auto"/>
            <w:bottom w:val="none" w:sz="0" w:space="0" w:color="auto"/>
            <w:right w:val="none" w:sz="0" w:space="0" w:color="auto"/>
          </w:divBdr>
          <w:divsChild>
            <w:div w:id="1149637208">
              <w:marLeft w:val="0"/>
              <w:marRight w:val="0"/>
              <w:marTop w:val="0"/>
              <w:marBottom w:val="0"/>
              <w:divBdr>
                <w:top w:val="single" w:sz="12" w:space="0" w:color="000000"/>
                <w:left w:val="none" w:sz="0" w:space="0" w:color="auto"/>
                <w:bottom w:val="none" w:sz="0" w:space="0" w:color="auto"/>
                <w:right w:val="none" w:sz="0" w:space="0" w:color="auto"/>
              </w:divBdr>
            </w:div>
          </w:divsChild>
        </w:div>
        <w:div w:id="1177845596">
          <w:marLeft w:val="0"/>
          <w:marRight w:val="0"/>
          <w:marTop w:val="0"/>
          <w:marBottom w:val="0"/>
          <w:divBdr>
            <w:top w:val="none" w:sz="0" w:space="0" w:color="auto"/>
            <w:left w:val="none" w:sz="0" w:space="0" w:color="auto"/>
            <w:bottom w:val="none" w:sz="0" w:space="0" w:color="auto"/>
            <w:right w:val="none" w:sz="0" w:space="0" w:color="auto"/>
          </w:divBdr>
          <w:divsChild>
            <w:div w:id="200215925">
              <w:marLeft w:val="0"/>
              <w:marRight w:val="0"/>
              <w:marTop w:val="0"/>
              <w:marBottom w:val="0"/>
              <w:divBdr>
                <w:top w:val="single" w:sz="12" w:space="0" w:color="000000"/>
                <w:left w:val="none" w:sz="0" w:space="0" w:color="auto"/>
                <w:bottom w:val="none" w:sz="0" w:space="0" w:color="auto"/>
                <w:right w:val="none" w:sz="0" w:space="0" w:color="auto"/>
              </w:divBdr>
            </w:div>
          </w:divsChild>
        </w:div>
        <w:div w:id="1305282948">
          <w:marLeft w:val="0"/>
          <w:marRight w:val="0"/>
          <w:marTop w:val="0"/>
          <w:marBottom w:val="0"/>
          <w:divBdr>
            <w:top w:val="none" w:sz="0" w:space="0" w:color="auto"/>
            <w:left w:val="none" w:sz="0" w:space="0" w:color="auto"/>
            <w:bottom w:val="none" w:sz="0" w:space="0" w:color="auto"/>
            <w:right w:val="none" w:sz="0" w:space="0" w:color="auto"/>
          </w:divBdr>
          <w:divsChild>
            <w:div w:id="240987862">
              <w:marLeft w:val="0"/>
              <w:marRight w:val="0"/>
              <w:marTop w:val="0"/>
              <w:marBottom w:val="0"/>
              <w:divBdr>
                <w:top w:val="single" w:sz="12" w:space="0" w:color="000000"/>
                <w:left w:val="none" w:sz="0" w:space="0" w:color="auto"/>
                <w:bottom w:val="none" w:sz="0" w:space="0" w:color="auto"/>
                <w:right w:val="none" w:sz="0" w:space="0" w:color="auto"/>
              </w:divBdr>
            </w:div>
          </w:divsChild>
        </w:div>
        <w:div w:id="48117922">
          <w:marLeft w:val="0"/>
          <w:marRight w:val="0"/>
          <w:marTop w:val="0"/>
          <w:marBottom w:val="0"/>
          <w:divBdr>
            <w:top w:val="none" w:sz="0" w:space="0" w:color="auto"/>
            <w:left w:val="none" w:sz="0" w:space="0" w:color="auto"/>
            <w:bottom w:val="none" w:sz="0" w:space="0" w:color="auto"/>
            <w:right w:val="none" w:sz="0" w:space="0" w:color="auto"/>
          </w:divBdr>
          <w:divsChild>
            <w:div w:id="308168979">
              <w:marLeft w:val="0"/>
              <w:marRight w:val="0"/>
              <w:marTop w:val="0"/>
              <w:marBottom w:val="0"/>
              <w:divBdr>
                <w:top w:val="single" w:sz="12" w:space="0" w:color="000000"/>
                <w:left w:val="none" w:sz="0" w:space="0" w:color="auto"/>
                <w:bottom w:val="single" w:sz="36" w:space="0" w:color="000000"/>
                <w:right w:val="none" w:sz="0" w:space="0" w:color="auto"/>
              </w:divBdr>
            </w:div>
          </w:divsChild>
        </w:div>
        <w:div w:id="1609971570">
          <w:marLeft w:val="0"/>
          <w:marRight w:val="0"/>
          <w:marTop w:val="0"/>
          <w:marBottom w:val="120"/>
          <w:divBdr>
            <w:top w:val="none" w:sz="0" w:space="0" w:color="auto"/>
            <w:left w:val="none" w:sz="0" w:space="0" w:color="auto"/>
            <w:bottom w:val="single" w:sz="12" w:space="0" w:color="000000"/>
            <w:right w:val="none" w:sz="0" w:space="0" w:color="auto"/>
          </w:divBdr>
        </w:div>
        <w:div w:id="620723957">
          <w:marLeft w:val="0"/>
          <w:marRight w:val="0"/>
          <w:marTop w:val="120"/>
          <w:marBottom w:val="0"/>
          <w:divBdr>
            <w:top w:val="none" w:sz="0" w:space="0" w:color="auto"/>
            <w:left w:val="none" w:sz="0" w:space="0" w:color="auto"/>
            <w:bottom w:val="none" w:sz="0" w:space="0" w:color="auto"/>
            <w:right w:val="none" w:sz="0" w:space="0" w:color="auto"/>
          </w:divBdr>
        </w:div>
        <w:div w:id="162475024">
          <w:marLeft w:val="0"/>
          <w:marRight w:val="0"/>
          <w:marTop w:val="0"/>
          <w:marBottom w:val="120"/>
          <w:divBdr>
            <w:top w:val="none" w:sz="0" w:space="0" w:color="auto"/>
            <w:left w:val="none" w:sz="0" w:space="0" w:color="auto"/>
            <w:bottom w:val="single" w:sz="12" w:space="0" w:color="000000"/>
            <w:right w:val="none" w:sz="0" w:space="0" w:color="auto"/>
          </w:divBdr>
        </w:div>
        <w:div w:id="1802962641">
          <w:marLeft w:val="0"/>
          <w:marRight w:val="0"/>
          <w:marTop w:val="120"/>
          <w:marBottom w:val="0"/>
          <w:divBdr>
            <w:top w:val="none" w:sz="0" w:space="0" w:color="auto"/>
            <w:left w:val="none" w:sz="0" w:space="0" w:color="auto"/>
            <w:bottom w:val="none" w:sz="0" w:space="0" w:color="auto"/>
            <w:right w:val="none" w:sz="0" w:space="0" w:color="auto"/>
          </w:divBdr>
        </w:div>
        <w:div w:id="1343706278">
          <w:marLeft w:val="0"/>
          <w:marRight w:val="0"/>
          <w:marTop w:val="0"/>
          <w:marBottom w:val="120"/>
          <w:divBdr>
            <w:top w:val="none" w:sz="0" w:space="0" w:color="auto"/>
            <w:left w:val="none" w:sz="0" w:space="0" w:color="auto"/>
            <w:bottom w:val="single" w:sz="12" w:space="0" w:color="000000"/>
            <w:right w:val="none" w:sz="0" w:space="0" w:color="auto"/>
          </w:divBdr>
        </w:div>
      </w:divsChild>
    </w:div>
    <w:div w:id="1472868164">
      <w:marLeft w:val="0"/>
      <w:marRight w:val="0"/>
      <w:marTop w:val="0"/>
      <w:marBottom w:val="0"/>
      <w:divBdr>
        <w:top w:val="none" w:sz="0" w:space="0" w:color="auto"/>
        <w:left w:val="none" w:sz="0" w:space="0" w:color="auto"/>
        <w:bottom w:val="none" w:sz="0" w:space="0" w:color="auto"/>
        <w:right w:val="none" w:sz="0" w:space="0" w:color="auto"/>
      </w:divBdr>
      <w:divsChild>
        <w:div w:id="1289437471">
          <w:marLeft w:val="0"/>
          <w:marRight w:val="0"/>
          <w:marTop w:val="0"/>
          <w:marBottom w:val="120"/>
          <w:divBdr>
            <w:top w:val="none" w:sz="0" w:space="0" w:color="auto"/>
            <w:left w:val="none" w:sz="0" w:space="0" w:color="auto"/>
            <w:bottom w:val="single" w:sz="12" w:space="0" w:color="000000"/>
            <w:right w:val="none" w:sz="0" w:space="0" w:color="auto"/>
          </w:divBdr>
        </w:div>
        <w:div w:id="1461026541">
          <w:marLeft w:val="0"/>
          <w:marRight w:val="0"/>
          <w:marTop w:val="120"/>
          <w:marBottom w:val="0"/>
          <w:divBdr>
            <w:top w:val="none" w:sz="0" w:space="0" w:color="auto"/>
            <w:left w:val="none" w:sz="0" w:space="0" w:color="auto"/>
            <w:bottom w:val="none" w:sz="0" w:space="0" w:color="auto"/>
            <w:right w:val="none" w:sz="0" w:space="0" w:color="auto"/>
          </w:divBdr>
        </w:div>
        <w:div w:id="2030910452">
          <w:marLeft w:val="0"/>
          <w:marRight w:val="0"/>
          <w:marTop w:val="0"/>
          <w:marBottom w:val="120"/>
          <w:divBdr>
            <w:top w:val="none" w:sz="0" w:space="0" w:color="auto"/>
            <w:left w:val="none" w:sz="0" w:space="0" w:color="auto"/>
            <w:bottom w:val="single" w:sz="12" w:space="0" w:color="000000"/>
            <w:right w:val="none" w:sz="0" w:space="0" w:color="auto"/>
          </w:divBdr>
        </w:div>
        <w:div w:id="221455053">
          <w:marLeft w:val="0"/>
          <w:marRight w:val="0"/>
          <w:marTop w:val="120"/>
          <w:marBottom w:val="0"/>
          <w:divBdr>
            <w:top w:val="none" w:sz="0" w:space="0" w:color="auto"/>
            <w:left w:val="none" w:sz="0" w:space="0" w:color="auto"/>
            <w:bottom w:val="none" w:sz="0" w:space="0" w:color="auto"/>
            <w:right w:val="none" w:sz="0" w:space="0" w:color="auto"/>
          </w:divBdr>
        </w:div>
        <w:div w:id="1434129459">
          <w:marLeft w:val="0"/>
          <w:marRight w:val="0"/>
          <w:marTop w:val="0"/>
          <w:marBottom w:val="120"/>
          <w:divBdr>
            <w:top w:val="none" w:sz="0" w:space="0" w:color="auto"/>
            <w:left w:val="none" w:sz="0" w:space="0" w:color="auto"/>
            <w:bottom w:val="single" w:sz="12" w:space="0" w:color="000000"/>
            <w:right w:val="none" w:sz="0" w:space="0" w:color="auto"/>
          </w:divBdr>
        </w:div>
        <w:div w:id="1676573119">
          <w:marLeft w:val="0"/>
          <w:marRight w:val="0"/>
          <w:marTop w:val="120"/>
          <w:marBottom w:val="0"/>
          <w:divBdr>
            <w:top w:val="none" w:sz="0" w:space="0" w:color="auto"/>
            <w:left w:val="none" w:sz="0" w:space="0" w:color="auto"/>
            <w:bottom w:val="none" w:sz="0" w:space="0" w:color="auto"/>
            <w:right w:val="none" w:sz="0" w:space="0" w:color="auto"/>
          </w:divBdr>
        </w:div>
        <w:div w:id="1006319952">
          <w:marLeft w:val="0"/>
          <w:marRight w:val="0"/>
          <w:marTop w:val="0"/>
          <w:marBottom w:val="120"/>
          <w:divBdr>
            <w:top w:val="none" w:sz="0" w:space="0" w:color="auto"/>
            <w:left w:val="none" w:sz="0" w:space="0" w:color="auto"/>
            <w:bottom w:val="single" w:sz="12" w:space="0" w:color="000000"/>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172.16.0.70\Dropbox%20M2\2022%20OPERATIONS%20New\2022%20EDGAR\08%20August\Progressive%20Care%20Inc\08-12-2022\Form%208-K%20August%2012,%202022\Draft\Production\ex99-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2008</Words>
  <Characters>11446</Characters>
  <Application>Microsoft Office Word</Application>
  <DocSecurity>0</DocSecurity>
  <Lines>95</Lines>
  <Paragraphs>26</Paragraphs>
  <ScaleCrop>false</ScaleCrop>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Proof - Z:\2022 OPERATIONS New\2022 EDGAR\08 August\Progressive Care Inc\08-12-2022\Form 8-K August 12, 2022\Draft\Production\Progressive Care Inc 08-12-2022 Form 8-K August 12, 2022.gfp</dc:title>
  <dc:subject/>
  <dc:creator>Filing 2</dc:creator>
  <cp:keywords/>
  <dc:description/>
  <cp:lastModifiedBy>Filing 2</cp:lastModifiedBy>
  <cp:revision>2</cp:revision>
  <dcterms:created xsi:type="dcterms:W3CDTF">2022-09-04T18:58:00Z</dcterms:created>
  <dcterms:modified xsi:type="dcterms:W3CDTF">2022-09-04T18:58:00Z</dcterms:modified>
</cp:coreProperties>
</file>