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680E25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</w:tr>
      <w:tr w:rsidR="00680E25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1559"/>
        <w:gridCol w:w="1559"/>
        <w:gridCol w:w="1843"/>
        <w:gridCol w:w="3544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before="120" w:after="0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STATIONARY CONTAINER SYSTEMS OR TANKS</w:t>
            </w: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001B72"/>
            <w:vAlign w:val="center"/>
          </w:tcPr>
          <w:p w:rsidR="00830788" w:rsidRPr="00883140" w:rsidRDefault="00830788" w:rsidP="00680E25">
            <w:pPr>
              <w:pStyle w:val="EPAParagraph"/>
              <w:spacing w:before="12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30788" w:rsidRPr="00883140" w:rsidRDefault="00830788" w:rsidP="00680E25">
            <w:pPr>
              <w:pStyle w:val="EPAParagraph"/>
              <w:spacing w:before="12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30788" w:rsidRPr="00DA3167" w:rsidRDefault="00830788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30788" w:rsidRDefault="00830788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56893" w:rsidRPr="008D521F" w:rsidRDefault="00B56893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30788" w:rsidRPr="00E40025" w:rsidRDefault="00B56893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30788" w:rsidRPr="003326B7" w:rsidTr="003F6F07">
        <w:trPr>
          <w:trHeight w:val="9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24704">
              <w:rPr>
                <w:b/>
                <w:sz w:val="18"/>
                <w:szCs w:val="18"/>
              </w:rPr>
              <w:t>Schedule 1, Clause 45, 17.91</w:t>
            </w:r>
          </w:p>
        </w:tc>
        <w:tc>
          <w:tcPr>
            <w:tcW w:w="5245" w:type="dxa"/>
          </w:tcPr>
          <w:p w:rsidR="00830788" w:rsidRPr="00B56893" w:rsidRDefault="00830788" w:rsidP="00773B3B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Compliance plan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773B3B">
            <w:pPr>
              <w:rPr>
                <w:sz w:val="18"/>
                <w:szCs w:val="18"/>
              </w:rPr>
            </w:pPr>
            <w:r w:rsidRPr="00B56893">
              <w:rPr>
                <w:sz w:val="18"/>
                <w:szCs w:val="18"/>
              </w:rPr>
              <w:t>Issuance of a compliance certificate for existing stationary container systems with compliance plan Requirement for compliance certificate for stationary container systems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413"/>
        </w:trPr>
        <w:tc>
          <w:tcPr>
            <w:tcW w:w="1418" w:type="dxa"/>
            <w:shd w:val="clear" w:color="auto" w:fill="auto"/>
          </w:tcPr>
          <w:p w:rsidR="00830788" w:rsidRPr="00B56893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17.91(2)(b)</w:t>
            </w:r>
          </w:p>
        </w:tc>
        <w:tc>
          <w:tcPr>
            <w:tcW w:w="5245" w:type="dxa"/>
          </w:tcPr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 xml:space="preserve">Installation </w:t>
            </w:r>
            <w:r w:rsidRPr="00B56893">
              <w:rPr>
                <w:sz w:val="18"/>
                <w:szCs w:val="18"/>
              </w:rPr>
              <w:t>The installation of stationary container systems [Regulation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17.91(2)(f)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proofErr w:type="spellStart"/>
            <w:r w:rsidRPr="00B56893">
              <w:rPr>
                <w:b/>
                <w:sz w:val="18"/>
                <w:szCs w:val="18"/>
              </w:rPr>
              <w:t>Vapourisers</w:t>
            </w:r>
            <w:proofErr w:type="spellEnd"/>
            <w:r w:rsidRPr="00B56893">
              <w:rPr>
                <w:b/>
                <w:sz w:val="18"/>
                <w:szCs w:val="18"/>
              </w:rPr>
              <w:t xml:space="preserve"> </w:t>
            </w:r>
          </w:p>
          <w:p w:rsidR="00830788" w:rsidRPr="00B56893" w:rsidRDefault="00830788" w:rsidP="00B56893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</w:t>
            </w:r>
            <w:proofErr w:type="spellStart"/>
            <w:r w:rsidRPr="00773B3B">
              <w:rPr>
                <w:sz w:val="18"/>
                <w:szCs w:val="18"/>
              </w:rPr>
              <w:t>vapouriser</w:t>
            </w:r>
            <w:proofErr w:type="spellEnd"/>
            <w:r w:rsidRPr="00773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17.91(2)(g)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Burning of class 3.1 </w:t>
            </w:r>
            <w:r w:rsidRPr="00B56893">
              <w:rPr>
                <w:b/>
                <w:sz w:val="18"/>
                <w:szCs w:val="18"/>
              </w:rPr>
              <w:t>substance</w:t>
            </w:r>
          </w:p>
          <w:p w:rsidR="00830788" w:rsidRP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for burning class 3.1 substance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595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17.91(2)(g) and (h)</w:t>
            </w:r>
          </w:p>
        </w:tc>
        <w:tc>
          <w:tcPr>
            <w:tcW w:w="5245" w:type="dxa"/>
          </w:tcPr>
          <w:p w:rsidR="00B56893" w:rsidRDefault="00B56893" w:rsidP="00830788">
            <w:pPr>
              <w:rPr>
                <w:b/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Burners</w:t>
            </w:r>
          </w:p>
          <w:p w:rsidR="00830788" w:rsidRPr="00B56893" w:rsidRDefault="00830788" w:rsidP="00B56893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burner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</w:t>
            </w:r>
            <w:proofErr w:type="spellStart"/>
            <w:r w:rsidRPr="00773B3B">
              <w:rPr>
                <w:b/>
                <w:sz w:val="18"/>
                <w:szCs w:val="18"/>
              </w:rPr>
              <w:t>i</w:t>
            </w:r>
            <w:proofErr w:type="spellEnd"/>
            <w:r w:rsidRPr="00773B3B">
              <w:rPr>
                <w:b/>
                <w:sz w:val="18"/>
                <w:szCs w:val="18"/>
              </w:rPr>
              <w:t>)(iii)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Transfer point pipework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>Requirement for a compliance certificate for stationary container systems</w:t>
            </w:r>
            <w:r w:rsidRPr="00B56893">
              <w:rPr>
                <w:sz w:val="18"/>
                <w:szCs w:val="18"/>
              </w:rPr>
              <w:t xml:space="preserve"> </w:t>
            </w:r>
            <w:r w:rsidRPr="00773B3B">
              <w:rPr>
                <w:sz w:val="18"/>
                <w:szCs w:val="18"/>
              </w:rPr>
              <w:t xml:space="preserve">that include transfer line between ship and stationary tank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17.91(2)(l)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Repair, alteration and maintenance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any repairs, alterations and maintenance of stationary container tank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17.91(2)(m)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Dispenser</w:t>
            </w:r>
            <w:r w:rsidRPr="00773B3B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dispenser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B56893" w:rsidP="00B24704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17.93(1)(a)</w:t>
            </w:r>
            <w:r w:rsidRPr="00B247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Design</w:t>
            </w:r>
            <w:r w:rsidRPr="00B56893">
              <w:rPr>
                <w:b/>
                <w:sz w:val="18"/>
                <w:szCs w:val="18"/>
              </w:rPr>
              <w:t xml:space="preserve"> </w:t>
            </w:r>
          </w:p>
          <w:p w:rsidR="00830788" w:rsidRPr="00883140" w:rsidRDefault="00830788" w:rsidP="00883140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Certification of a design for a stationary tank or process container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B24704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 xml:space="preserve">17.93(1)(b) </w:t>
            </w:r>
          </w:p>
        </w:tc>
        <w:tc>
          <w:tcPr>
            <w:tcW w:w="5245" w:type="dxa"/>
          </w:tcPr>
          <w:p w:rsidR="00883140" w:rsidRPr="00883140" w:rsidRDefault="00830788" w:rsidP="00883140">
            <w:pPr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Fabricator</w:t>
            </w:r>
            <w:r w:rsidRPr="00883140">
              <w:rPr>
                <w:b/>
                <w:sz w:val="18"/>
                <w:szCs w:val="18"/>
              </w:rPr>
              <w:t xml:space="preserve"> </w:t>
            </w:r>
          </w:p>
          <w:p w:rsidR="00830788" w:rsidRPr="00773B3B" w:rsidRDefault="00830788" w:rsidP="00680E25">
            <w:pPr>
              <w:rPr>
                <w:rFonts w:ascii="Gotham Book" w:hAnsi="Gotham Book" w:cs="Gotham Book"/>
                <w:snapToGrid/>
                <w:sz w:val="15"/>
                <w:szCs w:val="15"/>
              </w:rPr>
            </w:pPr>
            <w:r w:rsidRPr="00773B3B">
              <w:rPr>
                <w:sz w:val="18"/>
                <w:szCs w:val="18"/>
              </w:rPr>
              <w:t xml:space="preserve">Certification of a fabricator for a stationary tank or process container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  <w:r>
        <w:rPr>
          <w:b/>
          <w:sz w:val="22"/>
          <w:szCs w:val="12"/>
        </w:rPr>
        <w:br w:type="page"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417"/>
        <w:gridCol w:w="1701"/>
        <w:gridCol w:w="1823"/>
        <w:gridCol w:w="3677"/>
      </w:tblGrid>
      <w:tr w:rsidR="00883140" w:rsidRPr="00E40025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jc w:val="center"/>
              <w:rPr>
                <w:rFonts w:ascii="Arial Bold" w:hAnsi="Arial Bold"/>
                <w:b/>
                <w:caps/>
                <w:snapToGrid/>
                <w:sz w:val="18"/>
                <w:szCs w:val="18"/>
                <w:lang w:val="en-GB" w:eastAsia="en-GB"/>
              </w:rPr>
            </w:pPr>
            <w:r w:rsidRPr="00883140">
              <w:rPr>
                <w:rFonts w:ascii="Arial Bold" w:hAnsi="Arial Bold"/>
                <w:b/>
                <w:caps/>
                <w:color w:val="FFFFFF" w:themeColor="background1"/>
                <w:sz w:val="32"/>
                <w:szCs w:val="18"/>
              </w:rPr>
              <w:lastRenderedPageBreak/>
              <w:t>Tank Wagons and Transportable containers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417" w:type="dxa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16.31</w:t>
            </w:r>
          </w:p>
        </w:tc>
        <w:tc>
          <w:tcPr>
            <w:tcW w:w="5245" w:type="dxa"/>
          </w:tcPr>
          <w:p w:rsidR="00883140" w:rsidRPr="00B56893" w:rsidRDefault="00680E25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Design</w:t>
            </w:r>
          </w:p>
          <w:p w:rsidR="00883140" w:rsidRPr="00B56893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of design compliance certificates for tank wagons and transportable containers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16.34</w:t>
            </w:r>
          </w:p>
        </w:tc>
        <w:tc>
          <w:tcPr>
            <w:tcW w:w="5245" w:type="dxa"/>
          </w:tcPr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Pre-commissioning </w:t>
            </w:r>
          </w:p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of pre-commissioning compliance certificates for tank wagons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E40025" w:rsidTr="003F6F07">
        <w:trPr>
          <w:trHeight w:val="544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16.36</w:t>
            </w:r>
          </w:p>
        </w:tc>
        <w:tc>
          <w:tcPr>
            <w:tcW w:w="5245" w:type="dxa"/>
          </w:tcPr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In-service</w:t>
            </w:r>
          </w:p>
          <w:p w:rsidR="00883140" w:rsidRPr="00B56893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and renewal of in-service compliance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3F6F07" w:rsidRDefault="003F6F07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417"/>
        <w:gridCol w:w="1701"/>
        <w:gridCol w:w="1823"/>
        <w:gridCol w:w="3677"/>
      </w:tblGrid>
      <w:tr w:rsidR="00883140" w:rsidRPr="00E40025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jc w:val="center"/>
              <w:rPr>
                <w:rFonts w:ascii="Arial Bold" w:hAnsi="Arial Bold"/>
                <w:b/>
                <w:caps/>
                <w:snapToGrid/>
                <w:sz w:val="18"/>
                <w:szCs w:val="18"/>
                <w:lang w:val="en-GB" w:eastAsia="en-GB"/>
              </w:rPr>
            </w:pPr>
            <w:r>
              <w:rPr>
                <w:rFonts w:ascii="Arial Bold" w:hAnsi="Arial Bold"/>
                <w:b/>
                <w:caps/>
                <w:color w:val="FFFFFF" w:themeColor="background1"/>
                <w:sz w:val="32"/>
                <w:szCs w:val="18"/>
              </w:rPr>
              <w:t>APPROVED FILLERS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417" w:type="dxa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E40025" w:rsidTr="003F6F07">
        <w:trPr>
          <w:trHeight w:val="459"/>
        </w:trPr>
        <w:tc>
          <w:tcPr>
            <w:tcW w:w="1305" w:type="dxa"/>
            <w:shd w:val="clear" w:color="auto" w:fill="auto"/>
          </w:tcPr>
          <w:p w:rsidR="00883140" w:rsidRPr="00B56893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 xml:space="preserve">15.66 </w:t>
            </w:r>
          </w:p>
        </w:tc>
        <w:tc>
          <w:tcPr>
            <w:tcW w:w="5245" w:type="dxa"/>
          </w:tcPr>
          <w:p w:rsid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Approved fillers (cylinders,</w:t>
            </w: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stationary tanks)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Certification of approved fillers (cylinders, stationary tanks)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883140" w:rsidRDefault="00883140" w:rsidP="00B56893">
      <w:pPr>
        <w:rPr>
          <w:b/>
          <w:sz w:val="22"/>
          <w:szCs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CYLINDERS</w:t>
            </w: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3326B7" w:rsidTr="003F6F07">
        <w:trPr>
          <w:trHeight w:val="430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15.13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design verification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Design verification of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509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15.16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importation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15.3(3)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UNRTDG cylinder Importation (Schedule 19)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UNRTDG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457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15.19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pre-commissioning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Issue of pre-commissioning certificate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15.37</w:t>
            </w:r>
          </w:p>
        </w:tc>
        <w:tc>
          <w:tcPr>
            <w:tcW w:w="5245" w:type="dxa"/>
          </w:tcPr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LPG fittings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and manufactured fittings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CERTIFIED HANDLERS</w:t>
            </w: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3326B7" w:rsidTr="003F6F07">
        <w:trPr>
          <w:trHeight w:val="936"/>
        </w:trPr>
        <w:tc>
          <w:tcPr>
            <w:tcW w:w="1305" w:type="dxa"/>
            <w:shd w:val="clear" w:color="auto" w:fill="auto"/>
          </w:tcPr>
          <w:p w:rsidR="00F604C3" w:rsidRPr="00F604C3" w:rsidRDefault="00883140" w:rsidP="003E631F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9.3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Class 1 certified handlers 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1</w:t>
            </w:r>
          </w:p>
          <w:p w:rsidR="00883140" w:rsidRP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Default="00F604C3" w:rsidP="00F604C3">
            <w:pPr>
              <w:pStyle w:val="EPA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(Agrichemicals)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control of certified handlers.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14.3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(Fumigants)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Fumigants that must be under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personal control of certified handler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(Vertebrate Toxic Agents)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(Vertebrate Toxic Agents)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  <w:r>
        <w:rPr>
          <w:b/>
          <w:sz w:val="22"/>
          <w:szCs w:val="12"/>
        </w:rPr>
        <w:br w:type="page"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B24704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B24704">
              <w:rPr>
                <w:b/>
                <w:color w:val="FFFFFF" w:themeColor="background1"/>
                <w:sz w:val="32"/>
                <w:szCs w:val="18"/>
              </w:rPr>
              <w:lastRenderedPageBreak/>
              <w:t>CLASS 1</w:t>
            </w:r>
          </w:p>
        </w:tc>
      </w:tr>
      <w:tr w:rsidR="00B24704" w:rsidRPr="003326B7" w:rsidTr="003F6F07">
        <w:trPr>
          <w:trHeight w:val="487"/>
        </w:trPr>
        <w:tc>
          <w:tcPr>
            <w:tcW w:w="130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24704" w:rsidRPr="00DA3167" w:rsidRDefault="00B24704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24704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24704" w:rsidRPr="008D521F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B24704" w:rsidRPr="003326B7" w:rsidTr="003F6F07">
        <w:trPr>
          <w:trHeight w:val="956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F604C3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F604C3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F604C3">
      <w:r>
        <w:br w:type="page"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544"/>
      </w:tblGrid>
      <w:tr w:rsidR="00B24704" w:rsidRPr="003326B7" w:rsidTr="003F6F07">
        <w:trPr>
          <w:trHeight w:val="680"/>
        </w:trPr>
        <w:tc>
          <w:tcPr>
            <w:tcW w:w="15055" w:type="dxa"/>
            <w:gridSpan w:val="6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B24704">
              <w:rPr>
                <w:b/>
                <w:color w:val="FFFFFF" w:themeColor="background1"/>
                <w:sz w:val="32"/>
                <w:szCs w:val="18"/>
              </w:rPr>
              <w:lastRenderedPageBreak/>
              <w:t>LOCATIONS</w:t>
            </w: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24704" w:rsidRPr="00DA3167" w:rsidRDefault="00B24704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24704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24704" w:rsidRPr="008D521F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B24704" w:rsidRPr="003326B7" w:rsidTr="003F6F07">
        <w:trPr>
          <w:trHeight w:val="764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9.26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1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hazardous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location where a class 1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is present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10.34</w:t>
            </w:r>
          </w:p>
        </w:tc>
        <w:tc>
          <w:tcPr>
            <w:tcW w:w="5245" w:type="dxa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2.1.1, 2.1.2 or 3.1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if class 2.1.1, 2.1.2, or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3.1 substance present at hazardous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location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10.36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3.2 or 4 location</w:t>
            </w:r>
          </w:p>
          <w:p w:rsidR="00B24704" w:rsidRPr="00B24704" w:rsidRDefault="00B24704" w:rsidP="00F604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 to have compliance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ate if class 3.2 or 4 substance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present at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12.17</w:t>
            </w:r>
          </w:p>
        </w:tc>
        <w:tc>
          <w:tcPr>
            <w:tcW w:w="5245" w:type="dxa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5.1.1 or 5.1.2</w:t>
            </w: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for hazardous substance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location for class 5.1.1 or 5.1.2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12.42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5.2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for hazardous substance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location for class 5.2 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13.38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6 or 8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required for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hazardous substance location for class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6 or 8 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4E5775" w:rsidRDefault="00E26AC9" w:rsidP="00F604C3">
      <w:pPr>
        <w:spacing w:before="60" w:after="6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58420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4E9F" id="Rectangle 2" o:spid="_x0000_s1026" style="position:absolute;margin-left:272.85pt;margin-top:4.6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VdP9U3wAAAAgBAAAPAAAAZHJzL2Rvd25yZXYueG1sTI/BTsMw&#10;EETvSPyDtUjcqNNA2iZkUyEkekSiharc3HibRMTrEDtN+HvcE9xmNaOZt/l6Mq04U+8aywjzWQSC&#10;uLS64QrhffdytwLhvGKtWsuE8EMO1sX1Va4ybUd+o/PWVyKUsMsUQu19l0npypqMcjPbEQfvZHuj&#10;fDj7SupejaHctDKOooU0quGwUKuOnmsqv7aDQfj43JWJ/H4dh72LN5vuIO/T5Qnx9mZ6egThafJ/&#10;YbjgB3QoAtPRDqydaBGSh2QZoghpDCL4i2QexBEhXqUgi1z+f6D4BQ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FV0/1TfAAAACA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CC430D">
        <w:rPr>
          <w:b/>
          <w:sz w:val="18"/>
          <w:szCs w:val="18"/>
        </w:rPr>
        <w:t xml:space="preserve">Competence Model </w:t>
      </w:r>
      <w:r w:rsidR="00AA4575" w:rsidRPr="00CC430D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CC430D">
        <w:rPr>
          <w:b/>
          <w:sz w:val="18"/>
          <w:szCs w:val="18"/>
        </w:rPr>
        <w:t>Signatory Model signatories</w:t>
      </w:r>
      <w:r w:rsidR="00572B3B" w:rsidRPr="00CC430D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68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83" w:rsidRDefault="007A7A83">
      <w:r>
        <w:separator/>
      </w:r>
    </w:p>
  </w:endnote>
  <w:endnote w:type="continuationSeparator" w:id="0">
    <w:p w:rsidR="007A7A83" w:rsidRDefault="007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680E25" w:rsidRDefault="002C2925" w:rsidP="00680E25">
    <w:pPr>
      <w:pStyle w:val="Footer"/>
      <w:tabs>
        <w:tab w:val="clear" w:pos="4153"/>
        <w:tab w:val="clear" w:pos="8306"/>
        <w:tab w:val="right" w:pos="15735"/>
      </w:tabs>
      <w:rPr>
        <w:sz w:val="16"/>
        <w:szCs w:val="16"/>
      </w:rPr>
    </w:pPr>
    <w:r w:rsidRPr="00680E25">
      <w:rPr>
        <w:sz w:val="16"/>
        <w:szCs w:val="16"/>
      </w:rPr>
      <w:t xml:space="preserve">IANZ </w:t>
    </w:r>
    <w:r w:rsidR="00CC430D" w:rsidRPr="00680E25">
      <w:rPr>
        <w:sz w:val="16"/>
        <w:szCs w:val="16"/>
      </w:rPr>
      <w:t>July</w:t>
    </w:r>
    <w:r w:rsidR="00B56893" w:rsidRPr="00680E25">
      <w:rPr>
        <w:sz w:val="16"/>
        <w:szCs w:val="16"/>
      </w:rPr>
      <w:t xml:space="preserve"> 2020</w:t>
    </w:r>
    <w:r w:rsidR="00BB5506" w:rsidRPr="00680E25">
      <w:rPr>
        <w:sz w:val="16"/>
        <w:szCs w:val="16"/>
      </w:rPr>
      <w:tab/>
    </w:r>
    <w:r w:rsidR="00E738E6" w:rsidRPr="00E738E6">
      <w:rPr>
        <w:sz w:val="16"/>
        <w:szCs w:val="16"/>
      </w:rPr>
      <w:t xml:space="preserve">Page </w:t>
    </w:r>
    <w:r w:rsidR="00E738E6" w:rsidRPr="00E738E6">
      <w:rPr>
        <w:b/>
        <w:bCs/>
        <w:sz w:val="16"/>
        <w:szCs w:val="16"/>
      </w:rPr>
      <w:fldChar w:fldCharType="begin"/>
    </w:r>
    <w:r w:rsidR="00E738E6" w:rsidRPr="00E738E6">
      <w:rPr>
        <w:b/>
        <w:bCs/>
        <w:sz w:val="16"/>
        <w:szCs w:val="16"/>
      </w:rPr>
      <w:instrText xml:space="preserve"> PAGE  \* Arabic  \* MERGEFORMAT </w:instrText>
    </w:r>
    <w:r w:rsidR="00E738E6" w:rsidRPr="00E738E6">
      <w:rPr>
        <w:b/>
        <w:bCs/>
        <w:sz w:val="16"/>
        <w:szCs w:val="16"/>
      </w:rPr>
      <w:fldChar w:fldCharType="separate"/>
    </w:r>
    <w:r w:rsidR="00E738E6">
      <w:rPr>
        <w:b/>
        <w:bCs/>
        <w:noProof/>
        <w:sz w:val="16"/>
        <w:szCs w:val="16"/>
      </w:rPr>
      <w:t>5</w:t>
    </w:r>
    <w:r w:rsidR="00E738E6" w:rsidRPr="00E738E6">
      <w:rPr>
        <w:b/>
        <w:bCs/>
        <w:sz w:val="16"/>
        <w:szCs w:val="16"/>
      </w:rPr>
      <w:fldChar w:fldCharType="end"/>
    </w:r>
    <w:r w:rsidR="00E738E6" w:rsidRPr="00E738E6">
      <w:rPr>
        <w:sz w:val="16"/>
        <w:szCs w:val="16"/>
      </w:rPr>
      <w:t xml:space="preserve"> of </w:t>
    </w:r>
    <w:r w:rsidR="00E738E6" w:rsidRPr="00E738E6">
      <w:rPr>
        <w:b/>
        <w:bCs/>
        <w:sz w:val="16"/>
        <w:szCs w:val="16"/>
      </w:rPr>
      <w:fldChar w:fldCharType="begin"/>
    </w:r>
    <w:r w:rsidR="00E738E6" w:rsidRPr="00E738E6">
      <w:rPr>
        <w:b/>
        <w:bCs/>
        <w:sz w:val="16"/>
        <w:szCs w:val="16"/>
      </w:rPr>
      <w:instrText xml:space="preserve"> NUMPAGES  \* Arabic  \* MERGEFORMAT </w:instrText>
    </w:r>
    <w:r w:rsidR="00E738E6" w:rsidRPr="00E738E6">
      <w:rPr>
        <w:b/>
        <w:bCs/>
        <w:sz w:val="16"/>
        <w:szCs w:val="16"/>
      </w:rPr>
      <w:fldChar w:fldCharType="separate"/>
    </w:r>
    <w:r w:rsidR="00E738E6">
      <w:rPr>
        <w:b/>
        <w:bCs/>
        <w:noProof/>
        <w:sz w:val="16"/>
        <w:szCs w:val="16"/>
      </w:rPr>
      <w:t>5</w:t>
    </w:r>
    <w:r w:rsidR="00E738E6" w:rsidRPr="00E738E6">
      <w:rPr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83" w:rsidRDefault="007A7A83">
      <w:r>
        <w:separator/>
      </w:r>
    </w:p>
  </w:footnote>
  <w:footnote w:type="continuationSeparator" w:id="0">
    <w:p w:rsidR="007A7A83" w:rsidRDefault="007A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3B" w:rsidRPr="00680E25" w:rsidRDefault="00680E25" w:rsidP="00680E25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680E25">
      <w:rPr>
        <w:b/>
        <w:color w:val="001B72"/>
        <w:sz w:val="24"/>
        <w:szCs w:val="24"/>
      </w:rPr>
      <w:t>INSPECTION BODY</w:t>
    </w:r>
    <w:r w:rsidR="00AA4575" w:rsidRPr="00680E25">
      <w:rPr>
        <w:b/>
        <w:color w:val="001B72"/>
        <w:sz w:val="24"/>
        <w:szCs w:val="24"/>
      </w:rPr>
      <w:t>:</w:t>
    </w:r>
    <w:r w:rsidR="001B0113" w:rsidRPr="00680E25">
      <w:rPr>
        <w:b/>
        <w:color w:val="001B72"/>
        <w:sz w:val="24"/>
        <w:szCs w:val="24"/>
      </w:rPr>
      <w:t xml:space="preserve"> </w:t>
    </w:r>
    <w:r w:rsidR="00AA4575" w:rsidRPr="00680E25">
      <w:rPr>
        <w:b/>
        <w:color w:val="001B72"/>
        <w:sz w:val="24"/>
        <w:szCs w:val="24"/>
      </w:rPr>
      <w:t xml:space="preserve">INSPECTOR </w:t>
    </w:r>
    <w:r w:rsidR="001B0113" w:rsidRPr="00680E25">
      <w:rPr>
        <w:b/>
        <w:color w:val="001B72"/>
        <w:sz w:val="24"/>
        <w:szCs w:val="24"/>
      </w:rPr>
      <w:t>SCOPE</w:t>
    </w:r>
    <w:r w:rsidR="00AA4575" w:rsidRPr="00680E25">
      <w:rPr>
        <w:b/>
        <w:color w:val="001B72"/>
        <w:sz w:val="24"/>
        <w:szCs w:val="24"/>
      </w:rPr>
      <w:t xml:space="preserve"> FORM</w:t>
    </w:r>
    <w:r w:rsidR="001B0113" w:rsidRPr="00680E25">
      <w:rPr>
        <w:b/>
        <w:color w:val="001B72"/>
        <w:sz w:val="24"/>
        <w:szCs w:val="24"/>
      </w:rPr>
      <w:t xml:space="preserve"> – </w:t>
    </w:r>
    <w:r w:rsidR="00773B3B" w:rsidRPr="00680E25">
      <w:rPr>
        <w:b/>
        <w:color w:val="001B72"/>
        <w:sz w:val="24"/>
        <w:szCs w:val="24"/>
      </w:rPr>
      <w:t>Health and Safety at Work (Hazardous Substances)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37C782AE" wp14:editId="7BED2B18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3ED639"/>
    <w:multiLevelType w:val="hybridMultilevel"/>
    <w:tmpl w:val="E3A40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894E1A"/>
    <w:multiLevelType w:val="hybridMultilevel"/>
    <w:tmpl w:val="AA825F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298A04"/>
    <w:multiLevelType w:val="hybridMultilevel"/>
    <w:tmpl w:val="E9A9F5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34588C"/>
    <w:multiLevelType w:val="hybridMultilevel"/>
    <w:tmpl w:val="8CAB3D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89DC0C"/>
    <w:multiLevelType w:val="hybridMultilevel"/>
    <w:tmpl w:val="E297A5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CA3419"/>
    <w:multiLevelType w:val="hybridMultilevel"/>
    <w:tmpl w:val="AA88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22ED7F4"/>
    <w:multiLevelType w:val="hybridMultilevel"/>
    <w:tmpl w:val="0A3C89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D6A6285"/>
    <w:multiLevelType w:val="hybridMultilevel"/>
    <w:tmpl w:val="4B11F5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6B01274"/>
    <w:multiLevelType w:val="hybridMultilevel"/>
    <w:tmpl w:val="E76CD3D6"/>
    <w:lvl w:ilvl="0" w:tplc="571EA1A4">
      <w:start w:val="1"/>
      <w:numFmt w:val="bullet"/>
      <w:pStyle w:val="EPABulletedList"/>
      <w:lvlText w:val=""/>
      <w:lvlJc w:val="left"/>
      <w:pPr>
        <w:ind w:left="1920" w:hanging="360"/>
      </w:pPr>
      <w:rPr>
        <w:rFonts w:ascii="Symbol" w:hAnsi="Symbol" w:hint="default"/>
        <w:spacing w:val="0"/>
        <w:sz w:val="20"/>
        <w:u w:val="none"/>
      </w:rPr>
    </w:lvl>
    <w:lvl w:ilvl="1" w:tplc="1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9" w15:restartNumberingAfterBreak="0">
    <w:nsid w:val="20A8DCDE"/>
    <w:multiLevelType w:val="hybridMultilevel"/>
    <w:tmpl w:val="F6F7A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1A1CD2"/>
    <w:multiLevelType w:val="hybridMultilevel"/>
    <w:tmpl w:val="310D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A570894"/>
    <w:multiLevelType w:val="hybridMultilevel"/>
    <w:tmpl w:val="8A51D5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B85B508"/>
    <w:multiLevelType w:val="hybridMultilevel"/>
    <w:tmpl w:val="FF3DD3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707174"/>
    <w:multiLevelType w:val="hybridMultilevel"/>
    <w:tmpl w:val="202878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D8028C"/>
    <w:multiLevelType w:val="hybridMultilevel"/>
    <w:tmpl w:val="ABF0A99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5"/>
  </w:num>
  <w:num w:numId="12">
    <w:abstractNumId w:val="18"/>
  </w:num>
  <w:num w:numId="13">
    <w:abstractNumId w:val="24"/>
  </w:num>
  <w:num w:numId="14">
    <w:abstractNumId w:val="4"/>
  </w:num>
  <w:num w:numId="15">
    <w:abstractNumId w:val="18"/>
  </w:num>
  <w:num w:numId="16">
    <w:abstractNumId w:val="16"/>
  </w:num>
  <w:num w:numId="17">
    <w:abstractNumId w:val="20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9"/>
  </w:num>
  <w:num w:numId="24">
    <w:abstractNumId w:val="17"/>
  </w:num>
  <w:num w:numId="25">
    <w:abstractNumId w:val="23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0BAD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34F40"/>
    <w:rsid w:val="002407A2"/>
    <w:rsid w:val="00247A01"/>
    <w:rsid w:val="002514C2"/>
    <w:rsid w:val="00253B87"/>
    <w:rsid w:val="00257818"/>
    <w:rsid w:val="002606F7"/>
    <w:rsid w:val="00260744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6C2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6F07"/>
    <w:rsid w:val="003F7CF3"/>
    <w:rsid w:val="00402169"/>
    <w:rsid w:val="00403B26"/>
    <w:rsid w:val="00403E9D"/>
    <w:rsid w:val="00404420"/>
    <w:rsid w:val="00405918"/>
    <w:rsid w:val="004132D1"/>
    <w:rsid w:val="00422CD7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0E25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3B3B"/>
    <w:rsid w:val="00775BF8"/>
    <w:rsid w:val="00777C69"/>
    <w:rsid w:val="00782661"/>
    <w:rsid w:val="007A368B"/>
    <w:rsid w:val="007A454C"/>
    <w:rsid w:val="007A7A83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0788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314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3D53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1A64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704"/>
    <w:rsid w:val="00B24F93"/>
    <w:rsid w:val="00B34CFE"/>
    <w:rsid w:val="00B36822"/>
    <w:rsid w:val="00B37C68"/>
    <w:rsid w:val="00B40DDB"/>
    <w:rsid w:val="00B54206"/>
    <w:rsid w:val="00B54A6C"/>
    <w:rsid w:val="00B56893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C430D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5F4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298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38E6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4C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A293E5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  <w:style w:type="paragraph" w:customStyle="1" w:styleId="EPAParagraph">
    <w:name w:val="EPA Paragraph"/>
    <w:basedOn w:val="Normal"/>
    <w:link w:val="EPAParagraphChar"/>
    <w:qFormat/>
    <w:rsid w:val="00DB2298"/>
    <w:pPr>
      <w:spacing w:after="120" w:line="340" w:lineRule="exact"/>
    </w:pPr>
    <w:rPr>
      <w:rFonts w:eastAsia="Calibri"/>
      <w:snapToGrid/>
      <w:color w:val="auto"/>
      <w:sz w:val="20"/>
      <w:szCs w:val="20"/>
      <w:lang w:eastAsia="en-US"/>
    </w:rPr>
  </w:style>
  <w:style w:type="character" w:customStyle="1" w:styleId="EPAParagraphChar">
    <w:name w:val="EPA Paragraph Char"/>
    <w:link w:val="EPAParagraph"/>
    <w:rsid w:val="00DB2298"/>
    <w:rPr>
      <w:rFonts w:ascii="Arial" w:eastAsia="Calibri" w:hAnsi="Arial" w:cs="Arial"/>
      <w:lang w:eastAsia="en-US"/>
    </w:rPr>
  </w:style>
  <w:style w:type="paragraph" w:customStyle="1" w:styleId="EPABulletedList">
    <w:name w:val="EPA Bulleted List"/>
    <w:basedOn w:val="Normal"/>
    <w:link w:val="EPABulletedListChar"/>
    <w:uiPriority w:val="99"/>
    <w:qFormat/>
    <w:rsid w:val="00DB2298"/>
    <w:pPr>
      <w:numPr>
        <w:numId w:val="12"/>
      </w:numPr>
      <w:tabs>
        <w:tab w:val="left" w:pos="1701"/>
      </w:tabs>
      <w:spacing w:after="120" w:line="340" w:lineRule="exact"/>
    </w:pPr>
    <w:rPr>
      <w:rFonts w:eastAsia="Calibri"/>
      <w:noProof/>
      <w:snapToGrid/>
      <w:color w:val="auto"/>
      <w:sz w:val="20"/>
      <w:szCs w:val="20"/>
      <w:lang w:val="en-US" w:eastAsia="en-US"/>
    </w:rPr>
  </w:style>
  <w:style w:type="character" w:customStyle="1" w:styleId="EPABulletedListChar">
    <w:name w:val="EPA Bulleted List Char"/>
    <w:link w:val="EPABulletedList"/>
    <w:uiPriority w:val="99"/>
    <w:rsid w:val="00DB2298"/>
    <w:rPr>
      <w:rFonts w:ascii="Arial" w:eastAsia="Calibri" w:hAnsi="Arial" w:cs="Arial"/>
      <w:noProof/>
      <w:lang w:val="en-US" w:eastAsia="en-US"/>
    </w:rPr>
  </w:style>
  <w:style w:type="paragraph" w:customStyle="1" w:styleId="Default">
    <w:name w:val="Default"/>
    <w:rsid w:val="00773B3B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73B3B"/>
    <w:rPr>
      <w:i/>
      <w:iCs/>
    </w:rPr>
  </w:style>
  <w:style w:type="paragraph" w:customStyle="1" w:styleId="Pa17">
    <w:name w:val="Pa17"/>
    <w:basedOn w:val="Default"/>
    <w:next w:val="Default"/>
    <w:uiPriority w:val="99"/>
    <w:rsid w:val="00773B3B"/>
    <w:pPr>
      <w:spacing w:line="151" w:lineRule="atLeast"/>
    </w:pPr>
    <w:rPr>
      <w:rFonts w:ascii="Gotham Bold" w:hAnsi="Gotham Bold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773B3B"/>
    <w:pPr>
      <w:spacing w:line="151" w:lineRule="atLeast"/>
    </w:pPr>
    <w:rPr>
      <w:rFonts w:ascii="Gotham Bold" w:hAnsi="Gotham Bol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13</cp:revision>
  <cp:lastPrinted>2020-02-18T19:12:00Z</cp:lastPrinted>
  <dcterms:created xsi:type="dcterms:W3CDTF">2020-05-10T23:29:00Z</dcterms:created>
  <dcterms:modified xsi:type="dcterms:W3CDTF">2020-06-23T04:00:00Z</dcterms:modified>
</cp:coreProperties>
</file>