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2F7D" w14:textId="5D926A7A" w:rsidR="00E557BA" w:rsidRDefault="000414DF" w:rsidP="000414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COVID 19 Mandatory </w:t>
      </w:r>
      <w:r w:rsidR="00F05307">
        <w:rPr>
          <w:b/>
          <w:bCs/>
          <w:sz w:val="32"/>
          <w:szCs w:val="32"/>
        </w:rPr>
        <w:t>Workplace</w:t>
      </w:r>
      <w:r>
        <w:rPr>
          <w:b/>
          <w:bCs/>
          <w:sz w:val="32"/>
          <w:szCs w:val="32"/>
        </w:rPr>
        <w:t xml:space="preserve"> Masks</w:t>
      </w:r>
    </w:p>
    <w:p w14:paraId="71C1D08E" w14:textId="6DB1C430" w:rsidR="000414DF" w:rsidRDefault="000414DF" w:rsidP="000414DF">
      <w:pPr>
        <w:spacing w:before="100" w:after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Can an employee declare his/her civil right NOT to wear a mask at work?</w:t>
      </w:r>
    </w:p>
    <w:p w14:paraId="57C059A6" w14:textId="5C7AD1A4" w:rsidR="000414DF" w:rsidRDefault="000414DF" w:rsidP="000414DF">
      <w:pPr>
        <w:spacing w:before="100" w:after="100"/>
        <w:jc w:val="center"/>
        <w:rPr>
          <w:b/>
          <w:bCs/>
          <w:i/>
          <w:iCs/>
          <w:sz w:val="32"/>
          <w:szCs w:val="32"/>
        </w:rPr>
      </w:pPr>
    </w:p>
    <w:p w14:paraId="6EC9594A" w14:textId="2E9CECA1" w:rsidR="000414DF" w:rsidRDefault="000414DF" w:rsidP="000414DF">
      <w:pPr>
        <w:spacing w:before="100" w:after="100"/>
        <w:rPr>
          <w:b/>
          <w:bCs/>
          <w:i/>
          <w:iCs/>
          <w:sz w:val="28"/>
          <w:szCs w:val="28"/>
        </w:rPr>
      </w:pPr>
      <w:r w:rsidRPr="000414DF">
        <w:rPr>
          <w:b/>
          <w:bCs/>
          <w:i/>
          <w:iCs/>
          <w:sz w:val="28"/>
          <w:szCs w:val="28"/>
        </w:rPr>
        <w:t>LNI DOSH and ESD Respond</w:t>
      </w:r>
      <w:r w:rsidR="00F05307">
        <w:rPr>
          <w:b/>
          <w:bCs/>
          <w:i/>
          <w:iCs/>
          <w:sz w:val="28"/>
          <w:szCs w:val="28"/>
        </w:rPr>
        <w:t xml:space="preserve"> on 6/19/20</w:t>
      </w:r>
      <w:r w:rsidRPr="000414DF">
        <w:rPr>
          <w:b/>
          <w:bCs/>
          <w:i/>
          <w:iCs/>
          <w:sz w:val="28"/>
          <w:szCs w:val="28"/>
        </w:rPr>
        <w:t>:</w:t>
      </w:r>
    </w:p>
    <w:p w14:paraId="56E7447F" w14:textId="3255DE4D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L&amp;I can cite an employer for employee’s not wearing a </w:t>
      </w:r>
      <w:proofErr w:type="gramStart"/>
      <w:r w:rsidRPr="000414DF">
        <w:rPr>
          <w:sz w:val="28"/>
          <w:szCs w:val="28"/>
        </w:rPr>
        <w:t>masks</w:t>
      </w:r>
      <w:proofErr w:type="gramEnd"/>
      <w:r w:rsidRPr="000414DF">
        <w:rPr>
          <w:sz w:val="28"/>
          <w:szCs w:val="28"/>
        </w:rPr>
        <w:t xml:space="preserve">.    ESD sent us this answering pertaining to unemployment: </w:t>
      </w:r>
    </w:p>
    <w:p w14:paraId="69D51CDF" w14:textId="233E114E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“I would point to our UI handbook for workers (start at pg. 7) and our misconduct statute RCW 50.04.294. </w:t>
      </w:r>
    </w:p>
    <w:p w14:paraId="30689AE7" w14:textId="1F2AB54E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If your job ended because you were fired, the separation is reviewed to see if it was for misconduct, gross </w:t>
      </w:r>
      <w:proofErr w:type="gramStart"/>
      <w:r w:rsidRPr="000414DF">
        <w:rPr>
          <w:sz w:val="28"/>
          <w:szCs w:val="28"/>
        </w:rPr>
        <w:t>misconduct</w:t>
      </w:r>
      <w:proofErr w:type="gramEnd"/>
      <w:r w:rsidRPr="000414DF">
        <w:rPr>
          <w:sz w:val="28"/>
          <w:szCs w:val="28"/>
        </w:rPr>
        <w:t xml:space="preserve"> or no misconduct at all. Misconduct is doing something deliberately or carelessly when you knew or should have known it could cause harm to the employer’s business.</w:t>
      </w:r>
    </w:p>
    <w:p w14:paraId="380B6051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Examples of misconduct are:</w:t>
      </w:r>
    </w:p>
    <w:p w14:paraId="277AD972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1. Repeated tardiness when you had been previously warned.</w:t>
      </w:r>
    </w:p>
    <w:p w14:paraId="2EF4B1F9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2. Insubordination.</w:t>
      </w:r>
    </w:p>
    <w:p w14:paraId="7C5C62D6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3. Dishonesty related to employment.</w:t>
      </w:r>
    </w:p>
    <w:p w14:paraId="7F48B395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4. Repeated and inexcusable absences.</w:t>
      </w:r>
    </w:p>
    <w:p w14:paraId="231E6779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5. </w:t>
      </w:r>
      <w:r w:rsidRPr="000414DF">
        <w:rPr>
          <w:sz w:val="28"/>
          <w:szCs w:val="28"/>
          <w:highlight w:val="yellow"/>
        </w:rPr>
        <w:t>Violations of law</w:t>
      </w:r>
      <w:r w:rsidRPr="000414DF">
        <w:rPr>
          <w:sz w:val="28"/>
          <w:szCs w:val="28"/>
        </w:rPr>
        <w:t xml:space="preserve"> or deliberate acts that could provoke violence or illegal actions.</w:t>
      </w:r>
    </w:p>
    <w:p w14:paraId="607448AC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6. </w:t>
      </w:r>
      <w:r w:rsidRPr="000414DF">
        <w:rPr>
          <w:sz w:val="28"/>
          <w:szCs w:val="28"/>
          <w:highlight w:val="yellow"/>
        </w:rPr>
        <w:t>Violation of a company policy or rule.</w:t>
      </w:r>
    </w:p>
    <w:p w14:paraId="6814E5C5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7. </w:t>
      </w:r>
      <w:r w:rsidRPr="000414DF">
        <w:rPr>
          <w:sz w:val="28"/>
          <w:szCs w:val="28"/>
          <w:highlight w:val="yellow"/>
        </w:rPr>
        <w:t>Deliberate violation standards of behavior an employer has the right to expect from its employees.</w:t>
      </w:r>
    </w:p>
    <w:p w14:paraId="04BF9701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8. </w:t>
      </w:r>
      <w:r w:rsidRPr="000414DF">
        <w:rPr>
          <w:sz w:val="28"/>
          <w:szCs w:val="28"/>
          <w:highlight w:val="yellow"/>
        </w:rPr>
        <w:t>Carelessness or negligence that causes or would likely cause serious bodily harm.</w:t>
      </w:r>
    </w:p>
    <w:p w14:paraId="4510AC13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9. </w:t>
      </w:r>
      <w:r w:rsidRPr="000414DF">
        <w:rPr>
          <w:sz w:val="28"/>
          <w:szCs w:val="28"/>
          <w:highlight w:val="yellow"/>
        </w:rPr>
        <w:t>Carelessness or negligence of such a degree or frequency that it shows an intentional or substantial disregard for your employer’s interest.</w:t>
      </w:r>
    </w:p>
    <w:p w14:paraId="2BA61CE9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</w:p>
    <w:p w14:paraId="1EAFDF7A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lastRenderedPageBreak/>
        <w:t xml:space="preserve">Examples of gross misconduct include: </w:t>
      </w:r>
    </w:p>
    <w:p w14:paraId="5C1D1413" w14:textId="77777777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 xml:space="preserve">1. A criminal act in connection with your work for which you have been convicted in a criminal court or have admitted to committing. </w:t>
      </w:r>
    </w:p>
    <w:p w14:paraId="7D06AFFE" w14:textId="1E4D40F1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2. Conduct connected with your work that demonstrates a flagrant and wanton disregard for your employer or a fellow employee</w:t>
      </w:r>
      <w:r>
        <w:rPr>
          <w:sz w:val="28"/>
          <w:szCs w:val="28"/>
        </w:rPr>
        <w:t>.</w:t>
      </w:r>
    </w:p>
    <w:p w14:paraId="3873540A" w14:textId="5051ED36" w:rsidR="000414DF" w:rsidRP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There are a few instances where this may be considered misconduct. Under UI law the Employer has burden of proof for establishing misconduct or gross misconduct</w:t>
      </w:r>
      <w:r>
        <w:rPr>
          <w:sz w:val="28"/>
          <w:szCs w:val="28"/>
        </w:rPr>
        <w:t>.</w:t>
      </w:r>
    </w:p>
    <w:p w14:paraId="32CF37C0" w14:textId="550BBF0F" w:rsidR="000414DF" w:rsidRDefault="000414DF" w:rsidP="000414DF">
      <w:pPr>
        <w:spacing w:before="100" w:after="100"/>
        <w:rPr>
          <w:sz w:val="28"/>
          <w:szCs w:val="28"/>
        </w:rPr>
      </w:pPr>
      <w:r w:rsidRPr="000414DF">
        <w:rPr>
          <w:sz w:val="28"/>
          <w:szCs w:val="28"/>
        </w:rPr>
        <w:t>I would also qualify this with a “it depends” on all the facts of the situation. Ultimately, the claimant has a right to apply and the employer has a right to respond. If a determination is made either way both parties have the right to appeal and a decision could be made to affirm or reverse our determination. Since this is a new issue area this could get appealed up to the point of a precedential decision</w:t>
      </w:r>
      <w:r w:rsidR="00F05307">
        <w:rPr>
          <w:sz w:val="28"/>
          <w:szCs w:val="28"/>
        </w:rPr>
        <w:t>.</w:t>
      </w:r>
      <w:r w:rsidRPr="000414DF">
        <w:rPr>
          <w:sz w:val="28"/>
          <w:szCs w:val="28"/>
        </w:rPr>
        <w:t>”</w:t>
      </w:r>
    </w:p>
    <w:p w14:paraId="4CD900FF" w14:textId="77777777" w:rsidR="00F05307" w:rsidRPr="00F05307" w:rsidRDefault="00F05307" w:rsidP="00F05307">
      <w:pPr>
        <w:spacing w:before="0" w:beforeAutospacing="0" w:after="0" w:afterAutospacing="0"/>
        <w:ind w:left="0"/>
        <w:rPr>
          <w:rFonts w:eastAsia="Calibri" w:cs="Times New Roman"/>
          <w:sz w:val="28"/>
          <w:szCs w:val="28"/>
        </w:rPr>
      </w:pPr>
      <w:r w:rsidRPr="00F05307">
        <w:rPr>
          <w:rFonts w:eastAsia="Calibri" w:cs="Times New Roman"/>
          <w:sz w:val="28"/>
          <w:szCs w:val="28"/>
        </w:rPr>
        <w:t xml:space="preserve">Pam </w:t>
      </w:r>
      <w:proofErr w:type="gramStart"/>
      <w:r w:rsidRPr="00F05307">
        <w:rPr>
          <w:rFonts w:eastAsia="Calibri" w:cs="Times New Roman"/>
          <w:sz w:val="28"/>
          <w:szCs w:val="28"/>
        </w:rPr>
        <w:t>Cant</w:t>
      </w:r>
      <w:proofErr w:type="gramEnd"/>
      <w:r w:rsidRPr="00F05307">
        <w:rPr>
          <w:rFonts w:eastAsia="Calibri" w:cs="Times New Roman"/>
          <w:sz w:val="28"/>
          <w:szCs w:val="28"/>
        </w:rPr>
        <w:t>, IH, MS</w:t>
      </w:r>
    </w:p>
    <w:p w14:paraId="3C0809A8" w14:textId="77777777" w:rsidR="00F05307" w:rsidRPr="00F05307" w:rsidRDefault="00F05307" w:rsidP="00F05307">
      <w:pPr>
        <w:spacing w:before="0" w:beforeAutospacing="0" w:after="0" w:afterAutospacing="0"/>
        <w:ind w:left="0"/>
        <w:rPr>
          <w:rFonts w:eastAsia="Calibri" w:cs="Times New Roman"/>
          <w:sz w:val="28"/>
          <w:szCs w:val="28"/>
        </w:rPr>
      </w:pPr>
      <w:r w:rsidRPr="00F05307">
        <w:rPr>
          <w:rFonts w:eastAsia="Calibri" w:cs="Times New Roman"/>
          <w:sz w:val="28"/>
          <w:szCs w:val="28"/>
        </w:rPr>
        <w:t>Division of Occupational Safety and Health</w:t>
      </w:r>
    </w:p>
    <w:p w14:paraId="3EAD7C24" w14:textId="1D01761B" w:rsidR="00F05307" w:rsidRPr="00F05307" w:rsidRDefault="00F05307" w:rsidP="00F05307">
      <w:pPr>
        <w:spacing w:before="0" w:beforeAutospacing="0" w:after="0" w:afterAutospacing="0"/>
        <w:ind w:left="0"/>
        <w:rPr>
          <w:rFonts w:eastAsia="Calibri" w:cs="Times New Roman"/>
          <w:sz w:val="28"/>
          <w:szCs w:val="28"/>
        </w:rPr>
      </w:pPr>
      <w:r w:rsidRPr="00F05307">
        <w:rPr>
          <w:rFonts w:eastAsia="Calibri" w:cs="Times New Roman"/>
          <w:sz w:val="28"/>
          <w:szCs w:val="28"/>
        </w:rPr>
        <w:t>Consultation Operations Manager</w:t>
      </w:r>
    </w:p>
    <w:sectPr w:rsidR="00F05307" w:rsidRPr="00F05307" w:rsidSect="000414DF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DF"/>
    <w:rsid w:val="000414DF"/>
    <w:rsid w:val="003A7665"/>
    <w:rsid w:val="005E1453"/>
    <w:rsid w:val="006035CA"/>
    <w:rsid w:val="00770D17"/>
    <w:rsid w:val="00E557BA"/>
    <w:rsid w:val="00F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D36F"/>
  <w15:chartTrackingRefBased/>
  <w15:docId w15:val="{2960AFFD-F961-4C38-BCB2-9F80510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5C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Gee</dc:creator>
  <cp:keywords/>
  <dc:description/>
  <cp:lastModifiedBy>Jan Gee</cp:lastModifiedBy>
  <cp:revision>1</cp:revision>
  <dcterms:created xsi:type="dcterms:W3CDTF">2020-06-23T16:29:00Z</dcterms:created>
  <dcterms:modified xsi:type="dcterms:W3CDTF">2020-06-23T16:45:00Z</dcterms:modified>
</cp:coreProperties>
</file>