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7 -->
  <w:body>
    <w:p w:rsidR="005E4008" w:rsidRPr="002468A2" w:rsidP="002468A2">
      <w:pPr>
        <w:widowControl w:val="0"/>
        <w:spacing w:line="360" w:lineRule="auto"/>
        <w:ind w:left="567" w:hanging="567"/>
        <w:jc w:val="center"/>
        <w:rPr>
          <w:rFonts w:ascii="Arial" w:hAnsi="Arial" w:cs="Arial"/>
          <w:b/>
          <w:caps/>
        </w:rPr>
      </w:pPr>
      <w:r w:rsidRPr="002468A2">
        <w:rPr>
          <w:rFonts w:ascii="Arial" w:hAnsi="Arial" w:cs="Arial"/>
          <w:b/>
          <w:caps/>
        </w:rPr>
        <w:t>Summary of Product Characteristics</w:t>
      </w:r>
    </w:p>
    <w:p w:rsidR="005E4008" w:rsidRPr="002468A2" w:rsidP="002468A2">
      <w:pPr>
        <w:spacing w:line="480" w:lineRule="auto"/>
        <w:ind w:left="567" w:hanging="567"/>
        <w:rPr>
          <w:rFonts w:ascii="Arial" w:hAnsi="Arial" w:cs="Arial"/>
          <w:b/>
        </w:rPr>
      </w:pPr>
    </w:p>
    <w:p w:rsidR="005E4008" w:rsidRPr="002468A2" w:rsidP="002468A2">
      <w:pPr>
        <w:widowControl w:val="0"/>
        <w:spacing w:line="360" w:lineRule="auto"/>
        <w:ind w:left="567" w:hanging="567"/>
        <w:rPr>
          <w:rFonts w:ascii="Arial" w:hAnsi="Arial" w:cs="Arial"/>
        </w:rPr>
      </w:pPr>
      <w:r w:rsidRPr="002468A2">
        <w:rPr>
          <w:rFonts w:ascii="Arial" w:hAnsi="Arial" w:cs="Arial"/>
          <w:b/>
        </w:rPr>
        <w:t>1.</w:t>
        <w:tab/>
        <w:t>NAME OF THE VETERINARY MEDICINAL PRODUCT</w:t>
      </w:r>
    </w:p>
    <w:p w:rsidR="005E4008" w:rsidRPr="002468A2" w:rsidP="002468A2">
      <w:pPr>
        <w:spacing w:line="360" w:lineRule="auto"/>
        <w:ind w:left="567"/>
        <w:rPr>
          <w:rFonts w:ascii="Arial" w:hAnsi="Arial" w:cs="Arial"/>
          <w:lang w:val="fr-FR"/>
        </w:rPr>
      </w:pPr>
      <w:r w:rsidRPr="002468A2">
        <w:rPr>
          <w:rFonts w:ascii="Arial" w:hAnsi="Arial" w:cs="Arial"/>
          <w:lang w:val="fr-FR"/>
        </w:rPr>
        <w:t>Medimec 0.5% w/v Pour-on Solution. (France, Ireland and Poland)</w:t>
      </w:r>
    </w:p>
    <w:p w:rsidR="005E4008" w:rsidRPr="002468A2" w:rsidP="002468A2">
      <w:pPr>
        <w:spacing w:line="360" w:lineRule="auto"/>
        <w:ind w:left="567"/>
        <w:rPr>
          <w:rFonts w:ascii="Arial" w:hAnsi="Arial" w:cs="Arial"/>
          <w:lang w:val="fr-FR"/>
        </w:rPr>
      </w:pPr>
      <w:r w:rsidRPr="002468A2">
        <w:rPr>
          <w:rFonts w:ascii="Arial" w:hAnsi="Arial" w:cs="Arial"/>
          <w:lang w:val="fr-FR"/>
        </w:rPr>
        <w:t>Animec 0.5% w/v Pour-on Solution. (UK)</w:t>
      </w:r>
    </w:p>
    <w:p w:rsidR="005E4008" w:rsidRPr="002468A2" w:rsidP="002468A2">
      <w:pPr>
        <w:spacing w:line="360" w:lineRule="auto"/>
        <w:ind w:left="567" w:hanging="567"/>
        <w:rPr>
          <w:rFonts w:ascii="Arial" w:hAnsi="Arial" w:cs="Arial"/>
          <w:b/>
        </w:rPr>
      </w:pPr>
    </w:p>
    <w:p w:rsidR="005E4008" w:rsidRPr="002468A2" w:rsidP="002468A2">
      <w:pPr>
        <w:spacing w:line="360" w:lineRule="auto"/>
        <w:ind w:left="567" w:hanging="567"/>
        <w:rPr>
          <w:rFonts w:ascii="Arial" w:hAnsi="Arial" w:cs="Arial"/>
        </w:rPr>
      </w:pPr>
      <w:r w:rsidRPr="002468A2">
        <w:rPr>
          <w:rFonts w:ascii="Arial" w:hAnsi="Arial" w:cs="Arial"/>
          <w:b/>
        </w:rPr>
        <w:t>2.</w:t>
        <w:tab/>
        <w:t>QUALITATIVE AND QUANTITATIVE COMPOSITION</w:t>
      </w:r>
    </w:p>
    <w:p w:rsidR="005E4008" w:rsidRPr="002468A2" w:rsidP="002468A2">
      <w:pPr>
        <w:tabs>
          <w:tab w:val="left" w:pos="720"/>
        </w:tabs>
        <w:spacing w:line="360" w:lineRule="auto"/>
        <w:ind w:left="567" w:hanging="567"/>
        <w:rPr>
          <w:rFonts w:ascii="Arial" w:hAnsi="Arial" w:cs="Arial"/>
        </w:rPr>
      </w:pPr>
      <w:r w:rsidRPr="002468A2">
        <w:rPr>
          <w:rFonts w:ascii="Arial" w:hAnsi="Arial" w:cs="Arial"/>
        </w:rPr>
        <w:tab/>
      </w:r>
      <w:r w:rsidRPr="002468A2">
        <w:rPr>
          <w:rFonts w:ascii="Arial" w:hAnsi="Arial" w:cs="Arial"/>
          <w:u w:val="single"/>
        </w:rPr>
        <w:t>Active Substance</w:t>
      </w:r>
    </w:p>
    <w:p w:rsidR="005E4008" w:rsidRPr="002468A2" w:rsidP="002468A2">
      <w:pPr>
        <w:spacing w:line="360" w:lineRule="auto"/>
        <w:ind w:left="567" w:hanging="567"/>
        <w:rPr>
          <w:rFonts w:ascii="Arial" w:hAnsi="Arial" w:cs="Arial"/>
        </w:rPr>
      </w:pPr>
      <w:r w:rsidRPr="002468A2">
        <w:rPr>
          <w:rFonts w:ascii="Arial" w:hAnsi="Arial" w:cs="Arial"/>
        </w:rPr>
        <w:tab/>
        <w:t>Ivermectin</w:t>
        <w:tab/>
        <w:t>0.5 % w/v (5 mg/ml)</w:t>
      </w:r>
    </w:p>
    <w:p w:rsidR="005E4008" w:rsidRPr="002468A2" w:rsidP="002468A2">
      <w:pPr>
        <w:spacing w:line="360" w:lineRule="auto"/>
        <w:ind w:left="567" w:hanging="567"/>
        <w:rPr>
          <w:rFonts w:ascii="Arial" w:hAnsi="Arial" w:cs="Arial"/>
          <w:b/>
        </w:rPr>
      </w:pPr>
    </w:p>
    <w:p w:rsidR="005E4008" w:rsidRPr="002468A2" w:rsidP="002468A2">
      <w:pPr>
        <w:spacing w:line="360" w:lineRule="auto"/>
        <w:ind w:left="567" w:hanging="567"/>
        <w:rPr>
          <w:rFonts w:ascii="Arial" w:hAnsi="Arial" w:cs="Arial"/>
        </w:rPr>
      </w:pPr>
      <w:r w:rsidRPr="002468A2">
        <w:rPr>
          <w:rFonts w:ascii="Arial" w:hAnsi="Arial" w:cs="Arial"/>
          <w:b/>
        </w:rPr>
        <w:tab/>
        <w:t xml:space="preserve">Excipients: </w:t>
      </w:r>
    </w:p>
    <w:p w:rsidR="005E4008" w:rsidRPr="002468A2" w:rsidP="002468A2">
      <w:pPr>
        <w:spacing w:line="360" w:lineRule="auto"/>
        <w:ind w:left="567" w:hanging="567"/>
        <w:rPr>
          <w:rFonts w:ascii="Arial" w:hAnsi="Arial" w:cs="Arial"/>
        </w:rPr>
      </w:pPr>
      <w:r w:rsidRPr="002468A2">
        <w:rPr>
          <w:rFonts w:ascii="Arial" w:hAnsi="Arial" w:cs="Arial"/>
        </w:rPr>
        <w:tab/>
        <w:t>For a full list of excipients, see section 6.1.</w:t>
      </w:r>
    </w:p>
    <w:p w:rsidR="005E4008" w:rsidRPr="002468A2" w:rsidP="002468A2">
      <w:pPr>
        <w:widowControl w:val="0"/>
        <w:spacing w:line="360" w:lineRule="auto"/>
        <w:ind w:left="567" w:hanging="567"/>
        <w:rPr>
          <w:rFonts w:ascii="Arial" w:hAnsi="Arial" w:cs="Arial"/>
          <w:b/>
        </w:rPr>
      </w:pPr>
    </w:p>
    <w:p w:rsidR="005E4008" w:rsidRPr="002468A2" w:rsidP="002468A2">
      <w:pPr>
        <w:widowControl w:val="0"/>
        <w:spacing w:line="360" w:lineRule="auto"/>
        <w:ind w:left="567" w:hanging="567"/>
        <w:rPr>
          <w:rFonts w:ascii="Arial" w:hAnsi="Arial" w:cs="Arial"/>
        </w:rPr>
      </w:pPr>
      <w:r w:rsidRPr="002468A2">
        <w:rPr>
          <w:rFonts w:ascii="Arial" w:hAnsi="Arial" w:cs="Arial"/>
          <w:b/>
        </w:rPr>
        <w:t>3.</w:t>
        <w:tab/>
        <w:t>PHARMACEUTICAL FORM</w:t>
      </w:r>
    </w:p>
    <w:p w:rsidR="005E4008" w:rsidRPr="002468A2" w:rsidP="002468A2">
      <w:pPr>
        <w:widowControl w:val="0"/>
        <w:spacing w:line="360" w:lineRule="auto"/>
        <w:ind w:left="567" w:hanging="567"/>
        <w:rPr>
          <w:rFonts w:ascii="Arial" w:hAnsi="Arial" w:cs="Arial"/>
        </w:rPr>
      </w:pPr>
      <w:r w:rsidRPr="002468A2">
        <w:rPr>
          <w:rFonts w:ascii="Arial" w:hAnsi="Arial" w:cs="Arial"/>
        </w:rPr>
        <w:tab/>
        <w:t>Pour-on solution.</w:t>
      </w:r>
    </w:p>
    <w:p w:rsidR="005E4008" w:rsidRPr="002468A2" w:rsidP="002468A2">
      <w:pPr>
        <w:widowControl w:val="0"/>
        <w:spacing w:line="360" w:lineRule="auto"/>
        <w:ind w:left="567" w:hanging="567"/>
        <w:rPr>
          <w:rFonts w:ascii="Arial" w:hAnsi="Arial" w:cs="Arial"/>
        </w:rPr>
      </w:pPr>
      <w:r w:rsidRPr="002468A2">
        <w:rPr>
          <w:rFonts w:ascii="Arial" w:hAnsi="Arial" w:cs="Arial"/>
        </w:rPr>
        <w:tab/>
        <w:t>A clear solution.</w:t>
      </w:r>
    </w:p>
    <w:p w:rsidR="005E4008" w:rsidRPr="002468A2" w:rsidP="002468A2">
      <w:pPr>
        <w:spacing w:line="360" w:lineRule="auto"/>
        <w:ind w:left="567" w:hanging="567"/>
        <w:rPr>
          <w:rFonts w:ascii="Arial" w:hAnsi="Arial" w:cs="Arial"/>
          <w:b/>
        </w:rPr>
      </w:pPr>
    </w:p>
    <w:p w:rsidR="005E4008" w:rsidRPr="002468A2" w:rsidP="002468A2">
      <w:pPr>
        <w:spacing w:line="360" w:lineRule="auto"/>
        <w:ind w:left="567" w:hanging="567"/>
        <w:rPr>
          <w:rFonts w:ascii="Arial" w:hAnsi="Arial" w:cs="Arial"/>
          <w:b/>
        </w:rPr>
      </w:pPr>
      <w:r w:rsidRPr="002468A2">
        <w:rPr>
          <w:rFonts w:ascii="Arial" w:hAnsi="Arial" w:cs="Arial"/>
          <w:b/>
        </w:rPr>
        <w:t>4.</w:t>
        <w:tab/>
        <w:t>CLINICAL PARTICULARS</w:t>
      </w:r>
    </w:p>
    <w:p w:rsidR="005E4008" w:rsidRPr="002468A2" w:rsidP="002468A2">
      <w:pPr>
        <w:ind w:left="567" w:hanging="567"/>
        <w:rPr>
          <w:rFonts w:ascii="Arial" w:hAnsi="Arial" w:cs="Arial"/>
        </w:rPr>
      </w:pPr>
    </w:p>
    <w:p w:rsidR="005E4008" w:rsidRPr="002468A2" w:rsidP="002468A2">
      <w:pPr>
        <w:widowControl w:val="0"/>
        <w:spacing w:line="360" w:lineRule="auto"/>
        <w:ind w:left="567" w:hanging="567"/>
        <w:rPr>
          <w:rFonts w:ascii="Arial" w:hAnsi="Arial" w:cs="Arial"/>
          <w:b/>
        </w:rPr>
      </w:pPr>
      <w:r w:rsidRPr="002468A2">
        <w:rPr>
          <w:rFonts w:ascii="Arial" w:hAnsi="Arial" w:cs="Arial"/>
          <w:b/>
        </w:rPr>
        <w:t>4.1</w:t>
        <w:tab/>
        <w:t>Target species</w:t>
      </w:r>
    </w:p>
    <w:p w:rsidR="005E4008" w:rsidRPr="002468A2" w:rsidP="002468A2">
      <w:pPr>
        <w:widowControl w:val="0"/>
        <w:spacing w:line="360" w:lineRule="auto"/>
        <w:ind w:left="567" w:hanging="567"/>
        <w:rPr>
          <w:rFonts w:ascii="Arial" w:hAnsi="Arial" w:cs="Arial"/>
        </w:rPr>
      </w:pPr>
      <w:r w:rsidRPr="002468A2">
        <w:rPr>
          <w:rFonts w:ascii="Arial" w:hAnsi="Arial" w:cs="Arial"/>
        </w:rPr>
        <w:tab/>
        <w:t xml:space="preserve">Cattle.  </w:t>
      </w:r>
    </w:p>
    <w:p w:rsidR="005E4008" w:rsidRPr="002468A2" w:rsidP="002468A2">
      <w:pPr>
        <w:ind w:left="567" w:hanging="567"/>
        <w:rPr>
          <w:rFonts w:ascii="Arial" w:hAnsi="Arial" w:cs="Arial"/>
        </w:rPr>
      </w:pPr>
    </w:p>
    <w:p w:rsidR="005E4008" w:rsidRPr="002468A2" w:rsidP="002468A2">
      <w:pPr>
        <w:widowControl w:val="0"/>
        <w:spacing w:line="360" w:lineRule="auto"/>
        <w:ind w:left="567" w:hanging="567"/>
        <w:rPr>
          <w:rFonts w:ascii="Arial" w:hAnsi="Arial" w:cs="Arial"/>
        </w:rPr>
      </w:pPr>
      <w:r w:rsidRPr="002468A2">
        <w:rPr>
          <w:rFonts w:ascii="Arial" w:hAnsi="Arial" w:cs="Arial"/>
          <w:b/>
        </w:rPr>
        <w:t>4.2</w:t>
        <w:tab/>
        <w:t>Indications for use, specifying the target species</w:t>
      </w:r>
    </w:p>
    <w:p w:rsidR="005E4008" w:rsidRPr="002468A2" w:rsidP="002468A2">
      <w:pPr>
        <w:spacing w:line="360" w:lineRule="auto"/>
        <w:ind w:left="567" w:hanging="567"/>
        <w:rPr>
          <w:rFonts w:ascii="Arial" w:hAnsi="Arial" w:cs="Arial"/>
          <w:bCs/>
        </w:rPr>
      </w:pPr>
      <w:r w:rsidRPr="002468A2">
        <w:rPr>
          <w:rFonts w:ascii="Arial" w:hAnsi="Arial" w:cs="Arial"/>
          <w:b/>
        </w:rPr>
        <w:tab/>
      </w:r>
      <w:r w:rsidRPr="002468A2">
        <w:rPr>
          <w:rFonts w:ascii="Arial" w:hAnsi="Arial" w:cs="Arial"/>
          <w:bCs/>
        </w:rPr>
        <w:t>For the treatment of the following species of gastrointestinal roundworms, lungworms, warbles, mites and lice:</w:t>
      </w:r>
    </w:p>
    <w:p w:rsidR="005E4008" w:rsidRPr="002468A2" w:rsidP="002468A2">
      <w:pPr>
        <w:ind w:left="567" w:hanging="567"/>
        <w:rPr>
          <w:rFonts w:ascii="Arial" w:hAnsi="Arial" w:cs="Arial"/>
          <w:bCs/>
        </w:rPr>
      </w:pPr>
    </w:p>
    <w:p w:rsidR="005E4008" w:rsidRPr="002468A2" w:rsidP="002468A2">
      <w:pPr>
        <w:spacing w:line="360" w:lineRule="auto"/>
        <w:ind w:left="567"/>
        <w:jc w:val="both"/>
        <w:rPr>
          <w:rFonts w:ascii="Arial" w:hAnsi="Arial" w:cs="Arial"/>
        </w:rPr>
      </w:pPr>
      <w:r w:rsidRPr="002468A2">
        <w:rPr>
          <w:rFonts w:ascii="Arial" w:hAnsi="Arial" w:cs="Arial"/>
          <w:b/>
        </w:rPr>
        <w:t>Gastro-intestinal roundworms (adults and fourth stage larvae)</w:t>
      </w:r>
      <w:r w:rsidRPr="002468A2">
        <w:rPr>
          <w:rFonts w:ascii="Arial" w:hAnsi="Arial" w:cs="Arial"/>
        </w:rPr>
        <w:t>:</w:t>
      </w:r>
    </w:p>
    <w:p w:rsidR="005E4008" w:rsidRPr="002468A2" w:rsidP="002468A2">
      <w:pPr>
        <w:pStyle w:val="BodyTextIndent"/>
        <w:tabs>
          <w:tab w:val="left" w:pos="1440"/>
        </w:tabs>
        <w:spacing w:line="360" w:lineRule="auto"/>
        <w:ind w:left="567" w:hanging="567"/>
        <w:rPr>
          <w:rFonts w:ascii="Arial" w:hAnsi="Arial" w:cs="Arial"/>
          <w:bCs/>
          <w:sz w:val="24"/>
        </w:rPr>
      </w:pPr>
      <w:r w:rsidRPr="002468A2">
        <w:rPr>
          <w:rFonts w:ascii="Arial" w:hAnsi="Arial" w:cs="Arial"/>
          <w:i/>
          <w:iCs/>
          <w:sz w:val="24"/>
        </w:rPr>
        <w:tab/>
      </w:r>
      <w:r w:rsidRPr="002468A2">
        <w:rPr>
          <w:rFonts w:ascii="Arial" w:hAnsi="Arial" w:cs="Arial"/>
          <w:bCs/>
          <w:sz w:val="24"/>
        </w:rPr>
        <w:t xml:space="preserve">Ostertagia ostertagi (including inhibited O ostertagi) </w:t>
        <w:tab/>
        <w:tab/>
        <w:tab/>
      </w:r>
    </w:p>
    <w:p w:rsidR="005E4008" w:rsidRPr="002468A2" w:rsidP="002468A2">
      <w:pPr>
        <w:pStyle w:val="BodyTextIndent"/>
        <w:tabs>
          <w:tab w:val="left" w:pos="1440"/>
        </w:tabs>
        <w:spacing w:line="360" w:lineRule="auto"/>
        <w:ind w:left="567" w:hanging="567"/>
        <w:rPr>
          <w:rFonts w:ascii="Arial" w:hAnsi="Arial" w:cs="Arial"/>
          <w:bCs/>
          <w:sz w:val="24"/>
        </w:rPr>
      </w:pPr>
      <w:r w:rsidRPr="002468A2">
        <w:rPr>
          <w:rFonts w:ascii="Arial" w:hAnsi="Arial" w:cs="Arial"/>
          <w:bCs/>
          <w:sz w:val="24"/>
        </w:rPr>
        <w:tab/>
        <w:t>Haemonchus placei</w:t>
        <w:tab/>
      </w:r>
    </w:p>
    <w:p w:rsidR="005E4008" w:rsidRPr="002468A2" w:rsidP="002468A2">
      <w:pPr>
        <w:pStyle w:val="BodyTextIndent"/>
        <w:tabs>
          <w:tab w:val="left" w:pos="1440"/>
        </w:tabs>
        <w:spacing w:line="360" w:lineRule="auto"/>
        <w:ind w:left="567" w:hanging="567"/>
        <w:rPr>
          <w:rFonts w:ascii="Arial" w:hAnsi="Arial" w:cs="Arial"/>
          <w:bCs/>
          <w:sz w:val="24"/>
        </w:rPr>
      </w:pPr>
      <w:r w:rsidRPr="002468A2">
        <w:rPr>
          <w:rFonts w:ascii="Arial" w:hAnsi="Arial" w:cs="Arial"/>
          <w:bCs/>
          <w:sz w:val="24"/>
        </w:rPr>
        <w:tab/>
        <w:t xml:space="preserve">Trichostrongylus axei </w:t>
      </w:r>
    </w:p>
    <w:p w:rsidR="005E4008" w:rsidRPr="002468A2" w:rsidP="002468A2">
      <w:pPr>
        <w:pStyle w:val="BodyTextIndent"/>
        <w:tabs>
          <w:tab w:val="left" w:pos="1440"/>
        </w:tabs>
        <w:spacing w:line="360" w:lineRule="auto"/>
        <w:ind w:left="567" w:hanging="567"/>
        <w:rPr>
          <w:rFonts w:ascii="Arial" w:hAnsi="Arial" w:cs="Arial"/>
          <w:bCs/>
          <w:sz w:val="24"/>
        </w:rPr>
      </w:pPr>
      <w:r w:rsidRPr="002468A2">
        <w:rPr>
          <w:rFonts w:ascii="Arial" w:hAnsi="Arial" w:cs="Arial"/>
          <w:bCs/>
          <w:sz w:val="24"/>
        </w:rPr>
        <w:tab/>
        <w:t xml:space="preserve">Trichostrongylus colubriformis  </w:t>
      </w:r>
    </w:p>
    <w:p w:rsidR="005E4008" w:rsidRPr="002468A2" w:rsidP="002468A2">
      <w:pPr>
        <w:pStyle w:val="BodyTextIndent"/>
        <w:tabs>
          <w:tab w:val="left" w:pos="1440"/>
        </w:tabs>
        <w:spacing w:line="360" w:lineRule="auto"/>
        <w:ind w:left="567" w:hanging="567"/>
        <w:rPr>
          <w:rFonts w:ascii="Arial" w:hAnsi="Arial" w:cs="Arial"/>
          <w:bCs/>
          <w:sz w:val="24"/>
        </w:rPr>
      </w:pPr>
      <w:r w:rsidRPr="002468A2">
        <w:rPr>
          <w:rFonts w:ascii="Arial" w:hAnsi="Arial" w:cs="Arial"/>
          <w:bCs/>
          <w:sz w:val="24"/>
        </w:rPr>
        <w:tab/>
        <w:t xml:space="preserve">Cooperia spp  </w:t>
      </w:r>
    </w:p>
    <w:p w:rsidR="005E4008" w:rsidRPr="002468A2" w:rsidP="002468A2">
      <w:pPr>
        <w:pStyle w:val="BodyTextIndent"/>
        <w:tabs>
          <w:tab w:val="left" w:pos="0"/>
          <w:tab w:val="left" w:pos="1440"/>
        </w:tabs>
        <w:spacing w:line="360" w:lineRule="auto"/>
        <w:ind w:left="567" w:hanging="567"/>
        <w:rPr>
          <w:rFonts w:ascii="Arial" w:hAnsi="Arial" w:cs="Arial"/>
          <w:bCs/>
          <w:sz w:val="24"/>
        </w:rPr>
      </w:pPr>
      <w:r w:rsidRPr="002468A2">
        <w:rPr>
          <w:rFonts w:ascii="Arial" w:hAnsi="Arial" w:cs="Arial"/>
          <w:bCs/>
          <w:sz w:val="24"/>
        </w:rPr>
        <w:tab/>
        <w:t xml:space="preserve">Oesophagostomum radiatum  </w:t>
        <w:tab/>
      </w:r>
    </w:p>
    <w:p w:rsidR="002468A2" w:rsidP="002468A2">
      <w:pPr>
        <w:pStyle w:val="BodyTextIndent"/>
        <w:tabs>
          <w:tab w:val="left" w:pos="0"/>
          <w:tab w:val="left" w:pos="1440"/>
        </w:tabs>
        <w:spacing w:line="360" w:lineRule="auto"/>
        <w:ind w:left="567" w:hanging="567"/>
        <w:rPr>
          <w:rFonts w:ascii="Arial" w:hAnsi="Arial" w:cs="Arial"/>
          <w:bCs/>
          <w:sz w:val="24"/>
        </w:rPr>
      </w:pPr>
      <w:r w:rsidRPr="002468A2" w:rsidR="005E4008">
        <w:rPr>
          <w:rFonts w:ascii="Arial" w:hAnsi="Arial" w:cs="Arial"/>
          <w:bCs/>
          <w:sz w:val="24"/>
        </w:rPr>
        <w:tab/>
        <w:t>S</w:t>
      </w:r>
      <w:r>
        <w:rPr>
          <w:rFonts w:ascii="Arial" w:hAnsi="Arial" w:cs="Arial"/>
          <w:bCs/>
          <w:sz w:val="24"/>
        </w:rPr>
        <w:t>trongyloides papillosus (adult)</w:t>
      </w:r>
    </w:p>
    <w:p w:rsidR="005E4008" w:rsidRPr="002468A2" w:rsidP="002468A2">
      <w:pPr>
        <w:pStyle w:val="BodyTextIndent"/>
        <w:tabs>
          <w:tab w:val="left" w:pos="0"/>
          <w:tab w:val="left" w:pos="709"/>
          <w:tab w:val="clear" w:pos="720"/>
          <w:tab w:val="left" w:pos="1440"/>
        </w:tabs>
        <w:spacing w:line="360" w:lineRule="auto"/>
        <w:ind w:left="567" w:hanging="567"/>
        <w:rPr>
          <w:rFonts w:ascii="Arial" w:hAnsi="Arial" w:cs="Arial"/>
          <w:b/>
          <w:sz w:val="24"/>
        </w:rPr>
      </w:pPr>
      <w:r w:rsidR="002468A2">
        <w:rPr>
          <w:rFonts w:ascii="Arial" w:hAnsi="Arial" w:cs="Arial"/>
          <w:bCs/>
          <w:sz w:val="24"/>
        </w:rPr>
        <w:br w:type="page"/>
      </w:r>
      <w:r w:rsidRPr="002468A2">
        <w:rPr>
          <w:rFonts w:ascii="Arial" w:hAnsi="Arial" w:cs="Arial"/>
          <w:i/>
          <w:iCs/>
          <w:sz w:val="24"/>
        </w:rPr>
        <w:tab/>
      </w:r>
      <w:r w:rsidRPr="002468A2">
        <w:rPr>
          <w:rFonts w:ascii="Arial" w:hAnsi="Arial" w:cs="Arial"/>
          <w:b/>
          <w:sz w:val="24"/>
        </w:rPr>
        <w:t xml:space="preserve">Lungworms (adult and fourth stage larvae): </w:t>
      </w:r>
    </w:p>
    <w:p w:rsidR="005E4008" w:rsidRPr="002468A2" w:rsidP="002468A2">
      <w:pPr>
        <w:pStyle w:val="Heading3"/>
        <w:tabs>
          <w:tab w:val="left" w:pos="1440"/>
        </w:tabs>
        <w:ind w:left="567" w:hanging="567"/>
        <w:rPr>
          <w:rFonts w:ascii="Arial" w:hAnsi="Arial" w:cs="Arial"/>
          <w:bCs/>
          <w:sz w:val="24"/>
        </w:rPr>
      </w:pPr>
      <w:r w:rsidRPr="002468A2">
        <w:rPr>
          <w:rFonts w:ascii="Arial" w:hAnsi="Arial" w:cs="Arial"/>
          <w:sz w:val="24"/>
        </w:rPr>
        <w:tab/>
      </w:r>
      <w:r w:rsidRPr="002468A2">
        <w:rPr>
          <w:rFonts w:ascii="Arial" w:hAnsi="Arial" w:cs="Arial"/>
          <w:bCs/>
          <w:sz w:val="24"/>
        </w:rPr>
        <w:t xml:space="preserve">Dictyocaulus viviparus </w:t>
      </w:r>
    </w:p>
    <w:p w:rsidR="005E4008" w:rsidRPr="002468A2" w:rsidP="002468A2">
      <w:pPr>
        <w:ind w:left="567" w:hanging="567"/>
        <w:jc w:val="both"/>
        <w:rPr>
          <w:rFonts w:ascii="Arial" w:hAnsi="Arial" w:cs="Arial"/>
        </w:rPr>
      </w:pPr>
      <w:r w:rsidRPr="002468A2">
        <w:rPr>
          <w:rFonts w:ascii="Arial" w:hAnsi="Arial" w:cs="Arial"/>
        </w:rPr>
        <w:tab/>
        <w:tab/>
      </w:r>
    </w:p>
    <w:p w:rsidR="005E4008" w:rsidRPr="002468A2" w:rsidP="002468A2">
      <w:pPr>
        <w:tabs>
          <w:tab w:val="left" w:pos="567"/>
        </w:tabs>
        <w:spacing w:line="360" w:lineRule="auto"/>
        <w:ind w:left="567" w:hanging="567"/>
        <w:jc w:val="both"/>
        <w:rPr>
          <w:rFonts w:ascii="Arial" w:hAnsi="Arial" w:cs="Arial"/>
          <w:b/>
          <w:bCs/>
        </w:rPr>
      </w:pPr>
      <w:r w:rsidRPr="002468A2">
        <w:rPr>
          <w:rFonts w:ascii="Arial" w:hAnsi="Arial" w:cs="Arial"/>
        </w:rPr>
        <w:tab/>
      </w:r>
      <w:r w:rsidRPr="002468A2">
        <w:rPr>
          <w:rFonts w:ascii="Arial" w:hAnsi="Arial" w:cs="Arial"/>
          <w:b/>
          <w:bCs/>
        </w:rPr>
        <w:t>Eye worms (adult):</w:t>
      </w:r>
    </w:p>
    <w:p w:rsidR="005E4008" w:rsidRPr="002468A2" w:rsidP="002468A2">
      <w:pPr>
        <w:tabs>
          <w:tab w:val="left" w:pos="567"/>
        </w:tabs>
        <w:spacing w:line="360" w:lineRule="auto"/>
        <w:ind w:left="567" w:hanging="567"/>
        <w:jc w:val="both"/>
        <w:rPr>
          <w:rFonts w:ascii="Arial" w:hAnsi="Arial" w:cs="Arial"/>
        </w:rPr>
      </w:pPr>
      <w:r w:rsidRPr="002468A2">
        <w:rPr>
          <w:rFonts w:ascii="Arial" w:hAnsi="Arial" w:cs="Arial"/>
        </w:rPr>
        <w:tab/>
        <w:t xml:space="preserve">Thelazia spp </w:t>
      </w:r>
    </w:p>
    <w:p w:rsidR="005E4008" w:rsidRPr="002468A2" w:rsidP="002468A2">
      <w:pPr>
        <w:ind w:left="567" w:hanging="567"/>
        <w:jc w:val="both"/>
        <w:rPr>
          <w:rFonts w:ascii="Arial" w:hAnsi="Arial" w:cs="Arial"/>
          <w:b/>
        </w:rPr>
      </w:pPr>
    </w:p>
    <w:p w:rsidR="005E4008" w:rsidRPr="002468A2" w:rsidP="002468A2">
      <w:pPr>
        <w:spacing w:line="360" w:lineRule="auto"/>
        <w:ind w:left="567"/>
        <w:jc w:val="both"/>
        <w:rPr>
          <w:rFonts w:ascii="Arial" w:hAnsi="Arial" w:cs="Arial"/>
        </w:rPr>
      </w:pPr>
      <w:r w:rsidRPr="002468A2">
        <w:rPr>
          <w:rFonts w:ascii="Arial" w:hAnsi="Arial" w:cs="Arial"/>
          <w:b/>
        </w:rPr>
        <w:t>Warbles</w:t>
      </w:r>
      <w:r w:rsidRPr="002468A2">
        <w:rPr>
          <w:rFonts w:ascii="Arial" w:hAnsi="Arial" w:cs="Arial"/>
        </w:rPr>
        <w:t xml:space="preserve"> </w:t>
      </w:r>
      <w:r w:rsidRPr="002468A2">
        <w:rPr>
          <w:rFonts w:ascii="Arial" w:hAnsi="Arial" w:cs="Arial"/>
          <w:b/>
          <w:bCs/>
        </w:rPr>
        <w:t>(parasitic stages):</w:t>
      </w:r>
      <w:r w:rsidRPr="002468A2">
        <w:rPr>
          <w:rFonts w:ascii="Arial" w:hAnsi="Arial" w:cs="Arial"/>
        </w:rPr>
        <w:t xml:space="preserve"> </w:t>
      </w:r>
    </w:p>
    <w:p w:rsidR="005E4008" w:rsidRPr="002468A2" w:rsidP="002468A2">
      <w:pPr>
        <w:ind w:left="567" w:hanging="567"/>
        <w:jc w:val="both"/>
        <w:rPr>
          <w:rFonts w:ascii="Arial" w:hAnsi="Arial" w:cs="Arial"/>
          <w:i/>
        </w:rPr>
      </w:pPr>
      <w:r w:rsidRPr="002468A2">
        <w:rPr>
          <w:rFonts w:ascii="Arial" w:hAnsi="Arial" w:cs="Arial"/>
          <w:i/>
        </w:rPr>
        <w:tab/>
        <w:t>Hypoderma bovis</w:t>
      </w:r>
    </w:p>
    <w:p w:rsidR="005E4008" w:rsidRPr="002468A2" w:rsidP="002468A2">
      <w:pPr>
        <w:ind w:left="567" w:hanging="567"/>
        <w:jc w:val="both"/>
        <w:rPr>
          <w:rFonts w:ascii="Arial" w:hAnsi="Arial" w:cs="Arial"/>
          <w:i/>
        </w:rPr>
      </w:pPr>
      <w:r w:rsidRPr="002468A2">
        <w:rPr>
          <w:rFonts w:ascii="Arial" w:hAnsi="Arial" w:cs="Arial"/>
          <w:i/>
        </w:rPr>
        <w:tab/>
      </w:r>
      <w:r w:rsidRPr="002468A2">
        <w:rPr>
          <w:rFonts w:ascii="Arial" w:hAnsi="Arial" w:cs="Arial"/>
          <w:bCs/>
          <w:i/>
        </w:rPr>
        <w:t xml:space="preserve">Hypoderma lineatum </w:t>
      </w:r>
    </w:p>
    <w:p w:rsidR="005E4008" w:rsidRPr="002468A2" w:rsidP="002468A2">
      <w:pPr>
        <w:ind w:left="567" w:hanging="567"/>
        <w:rPr>
          <w:rFonts w:ascii="Arial" w:hAnsi="Arial" w:cs="Arial"/>
        </w:rPr>
      </w:pPr>
    </w:p>
    <w:p w:rsidR="005E4008" w:rsidRPr="002468A2" w:rsidP="002468A2">
      <w:pPr>
        <w:tabs>
          <w:tab w:val="right" w:pos="1530"/>
        </w:tabs>
        <w:spacing w:line="360" w:lineRule="auto"/>
        <w:ind w:left="567" w:hanging="567"/>
        <w:jc w:val="both"/>
        <w:rPr>
          <w:rFonts w:ascii="Arial" w:hAnsi="Arial" w:cs="Arial"/>
        </w:rPr>
      </w:pPr>
      <w:r w:rsidR="002468A2">
        <w:rPr>
          <w:rFonts w:ascii="Arial" w:hAnsi="Arial" w:cs="Arial"/>
          <w:b/>
        </w:rPr>
        <w:tab/>
      </w:r>
      <w:r w:rsidRPr="002468A2">
        <w:rPr>
          <w:rFonts w:ascii="Arial" w:hAnsi="Arial" w:cs="Arial"/>
          <w:b/>
        </w:rPr>
        <w:t>Mites</w:t>
      </w:r>
      <w:r w:rsidRPr="002468A2">
        <w:rPr>
          <w:rFonts w:ascii="Arial" w:hAnsi="Arial" w:cs="Arial"/>
        </w:rPr>
        <w:t xml:space="preserve">: </w:t>
      </w:r>
    </w:p>
    <w:p w:rsidR="005E4008" w:rsidRPr="002468A2" w:rsidP="002468A2">
      <w:pPr>
        <w:tabs>
          <w:tab w:val="right" w:pos="1530"/>
        </w:tabs>
        <w:spacing w:line="360" w:lineRule="auto"/>
        <w:ind w:left="567" w:hanging="567"/>
        <w:jc w:val="both"/>
        <w:rPr>
          <w:rFonts w:ascii="Arial" w:hAnsi="Arial" w:cs="Arial"/>
        </w:rPr>
      </w:pPr>
      <w:r w:rsidR="002468A2">
        <w:rPr>
          <w:rFonts w:ascii="Arial" w:hAnsi="Arial" w:cs="Arial"/>
          <w:i/>
        </w:rPr>
        <w:tab/>
      </w:r>
      <w:r w:rsidRPr="002468A2">
        <w:rPr>
          <w:rFonts w:ascii="Arial" w:hAnsi="Arial" w:cs="Arial"/>
          <w:i/>
        </w:rPr>
        <w:t xml:space="preserve">Chorioptes bovis </w:t>
      </w:r>
      <w:r w:rsidRPr="002468A2">
        <w:rPr>
          <w:rFonts w:ascii="Arial" w:hAnsi="Arial" w:cs="Arial"/>
        </w:rPr>
        <w:t>(reduction of infestation)</w:t>
      </w:r>
    </w:p>
    <w:p w:rsidR="005E4008" w:rsidRPr="002468A2" w:rsidP="002468A2">
      <w:pPr>
        <w:tabs>
          <w:tab w:val="right" w:pos="1530"/>
        </w:tabs>
        <w:spacing w:line="360" w:lineRule="auto"/>
        <w:ind w:left="567" w:hanging="567"/>
        <w:jc w:val="both"/>
        <w:rPr>
          <w:rFonts w:ascii="Arial" w:hAnsi="Arial" w:cs="Arial"/>
          <w:lang w:val="fr-FR"/>
        </w:rPr>
      </w:pPr>
      <w:r w:rsidR="002468A2">
        <w:rPr>
          <w:rFonts w:ascii="Arial" w:hAnsi="Arial" w:cs="Arial"/>
          <w:i/>
          <w:lang w:val="fr-FR"/>
        </w:rPr>
        <w:tab/>
      </w:r>
      <w:r w:rsidRPr="002468A2">
        <w:rPr>
          <w:rFonts w:ascii="Arial" w:hAnsi="Arial" w:cs="Arial"/>
          <w:i/>
          <w:lang w:val="fr-FR"/>
        </w:rPr>
        <w:t>Sarcoptes scabiei</w:t>
      </w:r>
      <w:r w:rsidRPr="002468A2">
        <w:rPr>
          <w:rFonts w:ascii="Arial" w:hAnsi="Arial" w:cs="Arial"/>
          <w:lang w:val="fr-FR"/>
        </w:rPr>
        <w:t xml:space="preserve"> var </w:t>
      </w:r>
      <w:r w:rsidRPr="002468A2">
        <w:rPr>
          <w:rFonts w:ascii="Arial" w:hAnsi="Arial" w:cs="Arial"/>
          <w:i/>
          <w:lang w:val="fr-FR"/>
        </w:rPr>
        <w:t>bovis</w:t>
      </w:r>
      <w:r w:rsidRPr="002468A2">
        <w:rPr>
          <w:rFonts w:ascii="Arial" w:hAnsi="Arial" w:cs="Arial"/>
          <w:lang w:val="fr-FR"/>
        </w:rPr>
        <w:t>.</w:t>
      </w:r>
    </w:p>
    <w:p w:rsidR="005E4008" w:rsidRPr="002468A2" w:rsidP="002468A2">
      <w:pPr>
        <w:tabs>
          <w:tab w:val="right" w:pos="1530"/>
        </w:tabs>
        <w:ind w:left="567" w:hanging="567"/>
        <w:jc w:val="both"/>
        <w:rPr>
          <w:rFonts w:ascii="Arial" w:hAnsi="Arial" w:cs="Arial"/>
          <w:lang w:val="fr-FR"/>
        </w:rPr>
      </w:pPr>
    </w:p>
    <w:p w:rsidR="005E4008" w:rsidRPr="002468A2" w:rsidP="002468A2">
      <w:pPr>
        <w:tabs>
          <w:tab w:val="right" w:pos="1530"/>
        </w:tabs>
        <w:spacing w:line="360" w:lineRule="auto"/>
        <w:ind w:left="567" w:hanging="567"/>
        <w:jc w:val="both"/>
        <w:rPr>
          <w:rFonts w:ascii="Arial" w:hAnsi="Arial" w:cs="Arial"/>
        </w:rPr>
      </w:pPr>
      <w:r w:rsidR="002468A2">
        <w:rPr>
          <w:rFonts w:ascii="Arial" w:hAnsi="Arial" w:cs="Arial"/>
          <w:b/>
        </w:rPr>
        <w:tab/>
      </w:r>
      <w:r w:rsidRPr="002468A2">
        <w:rPr>
          <w:rFonts w:ascii="Arial" w:hAnsi="Arial" w:cs="Arial"/>
          <w:b/>
        </w:rPr>
        <w:t>Sucking lice</w:t>
      </w:r>
      <w:r w:rsidRPr="002468A2">
        <w:rPr>
          <w:rFonts w:ascii="Arial" w:hAnsi="Arial" w:cs="Arial"/>
          <w:b/>
          <w:bCs/>
        </w:rPr>
        <w:t xml:space="preserve">: </w:t>
      </w:r>
    </w:p>
    <w:p w:rsidR="005E4008" w:rsidRPr="002468A2" w:rsidP="002468A2">
      <w:pPr>
        <w:tabs>
          <w:tab w:val="right" w:pos="1530"/>
        </w:tabs>
        <w:spacing w:line="360" w:lineRule="auto"/>
        <w:ind w:left="567" w:hanging="567"/>
        <w:jc w:val="both"/>
        <w:rPr>
          <w:rFonts w:ascii="Arial" w:hAnsi="Arial" w:cs="Arial"/>
        </w:rPr>
      </w:pPr>
      <w:r w:rsidR="002468A2">
        <w:rPr>
          <w:rFonts w:ascii="Arial" w:hAnsi="Arial" w:cs="Arial"/>
          <w:i/>
        </w:rPr>
        <w:tab/>
      </w:r>
      <w:r w:rsidRPr="002468A2">
        <w:rPr>
          <w:rFonts w:ascii="Arial" w:hAnsi="Arial" w:cs="Arial"/>
          <w:i/>
        </w:rPr>
        <w:t>Linognathus vituli</w:t>
      </w:r>
      <w:r w:rsidRPr="002468A2">
        <w:rPr>
          <w:rFonts w:ascii="Arial" w:hAnsi="Arial" w:cs="Arial"/>
        </w:rPr>
        <w:t xml:space="preserve">, </w:t>
      </w:r>
    </w:p>
    <w:p w:rsidR="005E4008" w:rsidRPr="002468A2" w:rsidP="002468A2">
      <w:pPr>
        <w:tabs>
          <w:tab w:val="right" w:pos="1530"/>
        </w:tabs>
        <w:spacing w:line="360" w:lineRule="auto"/>
        <w:ind w:left="567" w:hanging="567"/>
        <w:jc w:val="both"/>
        <w:rPr>
          <w:rFonts w:ascii="Arial" w:hAnsi="Arial" w:cs="Arial"/>
          <w:lang w:val="fr-FR"/>
        </w:rPr>
      </w:pPr>
      <w:r w:rsidR="002468A2">
        <w:rPr>
          <w:rFonts w:ascii="Arial" w:hAnsi="Arial" w:cs="Arial"/>
          <w:i/>
          <w:lang w:val="fr-FR"/>
        </w:rPr>
        <w:tab/>
      </w:r>
      <w:r w:rsidRPr="002468A2">
        <w:rPr>
          <w:rFonts w:ascii="Arial" w:hAnsi="Arial" w:cs="Arial"/>
          <w:i/>
          <w:lang w:val="fr-FR"/>
        </w:rPr>
        <w:t>Haematopinus eurysternus</w:t>
      </w:r>
      <w:r w:rsidRPr="002468A2">
        <w:rPr>
          <w:rFonts w:ascii="Arial" w:hAnsi="Arial" w:cs="Arial"/>
          <w:lang w:val="fr-FR"/>
        </w:rPr>
        <w:t xml:space="preserve"> </w:t>
      </w:r>
    </w:p>
    <w:p w:rsidR="005E4008" w:rsidRPr="002468A2" w:rsidP="002468A2">
      <w:pPr>
        <w:tabs>
          <w:tab w:val="right" w:pos="1530"/>
        </w:tabs>
        <w:ind w:left="567" w:hanging="567"/>
        <w:jc w:val="both"/>
        <w:rPr>
          <w:rFonts w:ascii="Arial" w:hAnsi="Arial" w:cs="Arial"/>
          <w:lang w:val="fr-FR"/>
        </w:rPr>
      </w:pPr>
    </w:p>
    <w:p w:rsidR="005E4008" w:rsidRPr="002468A2" w:rsidP="002468A2">
      <w:pPr>
        <w:tabs>
          <w:tab w:val="right" w:pos="1530"/>
        </w:tabs>
        <w:spacing w:line="360" w:lineRule="auto"/>
        <w:ind w:left="567" w:hanging="567"/>
        <w:jc w:val="both"/>
        <w:rPr>
          <w:rFonts w:ascii="Arial" w:hAnsi="Arial" w:cs="Arial"/>
          <w:b/>
          <w:bCs/>
        </w:rPr>
      </w:pPr>
      <w:r w:rsidR="002468A2">
        <w:rPr>
          <w:rFonts w:ascii="Arial" w:hAnsi="Arial" w:cs="Arial"/>
          <w:b/>
          <w:bCs/>
        </w:rPr>
        <w:tab/>
      </w:r>
      <w:r w:rsidRPr="002468A2">
        <w:rPr>
          <w:rFonts w:ascii="Arial" w:hAnsi="Arial" w:cs="Arial"/>
          <w:b/>
          <w:bCs/>
        </w:rPr>
        <w:t>Biting Lice:</w:t>
      </w:r>
    </w:p>
    <w:p w:rsidR="005E4008" w:rsidRPr="002468A2" w:rsidP="002468A2">
      <w:pPr>
        <w:tabs>
          <w:tab w:val="right" w:pos="1530"/>
        </w:tabs>
        <w:spacing w:line="360" w:lineRule="auto"/>
        <w:ind w:left="567" w:hanging="567"/>
        <w:jc w:val="both"/>
        <w:rPr>
          <w:rFonts w:ascii="Arial" w:hAnsi="Arial" w:cs="Arial"/>
        </w:rPr>
      </w:pPr>
      <w:r w:rsidR="002468A2">
        <w:rPr>
          <w:rFonts w:ascii="Arial" w:hAnsi="Arial" w:cs="Arial"/>
          <w:i/>
          <w:iCs/>
        </w:rPr>
        <w:tab/>
      </w:r>
      <w:r w:rsidRPr="002468A2">
        <w:rPr>
          <w:rFonts w:ascii="Arial" w:hAnsi="Arial" w:cs="Arial"/>
          <w:i/>
          <w:iCs/>
        </w:rPr>
        <w:t>Damalinia bovis</w:t>
      </w:r>
    </w:p>
    <w:p w:rsidR="005E4008" w:rsidRPr="002468A2" w:rsidP="002468A2">
      <w:pPr>
        <w:tabs>
          <w:tab w:val="right" w:pos="1530"/>
        </w:tabs>
        <w:ind w:left="567" w:hanging="567"/>
        <w:jc w:val="both"/>
        <w:rPr>
          <w:rFonts w:ascii="Arial" w:hAnsi="Arial" w:cs="Arial"/>
        </w:rPr>
      </w:pPr>
    </w:p>
    <w:p w:rsidR="005E4008" w:rsidP="002468A2">
      <w:pPr>
        <w:tabs>
          <w:tab w:val="right" w:pos="1530"/>
        </w:tabs>
        <w:spacing w:line="360" w:lineRule="auto"/>
        <w:ind w:left="567" w:hanging="567"/>
        <w:jc w:val="both"/>
        <w:rPr>
          <w:rFonts w:ascii="Arial" w:hAnsi="Arial" w:cs="Arial"/>
          <w:i/>
          <w:iCs/>
        </w:rPr>
      </w:pPr>
      <w:r w:rsidR="002468A2">
        <w:rPr>
          <w:rFonts w:ascii="Arial" w:hAnsi="Arial" w:cs="Arial"/>
        </w:rPr>
        <w:tab/>
      </w:r>
      <w:r w:rsidRPr="002468A2">
        <w:rPr>
          <w:rFonts w:ascii="Arial" w:hAnsi="Arial" w:cs="Arial"/>
        </w:rPr>
        <w:t xml:space="preserve">The product given at the recommended dosage of 500 micrograms/kg bodyweight, has persistent activity against </w:t>
      </w:r>
      <w:r w:rsidRPr="002468A2">
        <w:rPr>
          <w:rFonts w:ascii="Arial" w:hAnsi="Arial" w:cs="Arial"/>
          <w:i/>
          <w:iCs/>
        </w:rPr>
        <w:t>Trichostrongylus axei</w:t>
      </w:r>
      <w:r w:rsidRPr="002468A2">
        <w:rPr>
          <w:rFonts w:ascii="Arial" w:hAnsi="Arial" w:cs="Arial"/>
        </w:rPr>
        <w:t xml:space="preserve"> and </w:t>
      </w:r>
      <w:r w:rsidRPr="002468A2">
        <w:rPr>
          <w:rFonts w:ascii="Arial" w:hAnsi="Arial" w:cs="Arial"/>
          <w:i/>
          <w:iCs/>
        </w:rPr>
        <w:t xml:space="preserve">Cooperia </w:t>
      </w:r>
      <w:r w:rsidRPr="002468A2">
        <w:rPr>
          <w:rFonts w:ascii="Arial" w:hAnsi="Arial" w:cs="Arial"/>
        </w:rPr>
        <w:t xml:space="preserve">spp acquired during the 14 days after treatment, only if the whole herd is treated simultaneously. It also has a persistent activity against </w:t>
      </w:r>
      <w:r w:rsidRPr="002468A2">
        <w:rPr>
          <w:rFonts w:ascii="Arial" w:hAnsi="Arial" w:cs="Arial"/>
          <w:i/>
          <w:iCs/>
        </w:rPr>
        <w:t>Ostertagia ostertagi</w:t>
      </w:r>
      <w:r w:rsidRPr="002468A2">
        <w:rPr>
          <w:rFonts w:ascii="Arial" w:hAnsi="Arial" w:cs="Arial"/>
        </w:rPr>
        <w:t xml:space="preserve"> and </w:t>
      </w:r>
      <w:r w:rsidRPr="002468A2">
        <w:rPr>
          <w:rFonts w:ascii="Arial" w:hAnsi="Arial" w:cs="Arial"/>
          <w:i/>
          <w:iCs/>
        </w:rPr>
        <w:t>Oesophagostomum radiatum</w:t>
      </w:r>
      <w:r w:rsidRPr="002468A2">
        <w:rPr>
          <w:rFonts w:ascii="Arial" w:hAnsi="Arial" w:cs="Arial"/>
        </w:rPr>
        <w:t xml:space="preserve"> acquired during the first 21 days after treatment and </w:t>
      </w:r>
      <w:r w:rsidRPr="002468A2">
        <w:rPr>
          <w:rFonts w:ascii="Arial" w:hAnsi="Arial" w:cs="Arial"/>
          <w:i/>
        </w:rPr>
        <w:t>Dictyocaulus viviparus</w:t>
      </w:r>
      <w:r w:rsidRPr="002468A2">
        <w:rPr>
          <w:rFonts w:ascii="Arial" w:hAnsi="Arial" w:cs="Arial"/>
        </w:rPr>
        <w:t xml:space="preserve"> (lungworm) acquired during the first 28 days after treatment. It also has a persistent activity on horn flies (</w:t>
      </w:r>
      <w:r w:rsidRPr="002468A2">
        <w:rPr>
          <w:rFonts w:ascii="Arial" w:hAnsi="Arial" w:cs="Arial"/>
          <w:i/>
          <w:iCs/>
        </w:rPr>
        <w:t>Haematobia irritans</w:t>
      </w:r>
      <w:r w:rsidRPr="002468A2">
        <w:rPr>
          <w:rFonts w:ascii="Arial" w:hAnsi="Arial" w:cs="Arial"/>
        </w:rPr>
        <w:t xml:space="preserve">) for 28 days after treatment, partial efficacy may last for up to 35 days post application. Occasionally variable activity may be observed against </w:t>
      </w:r>
      <w:r w:rsidRPr="002468A2">
        <w:rPr>
          <w:rFonts w:ascii="Arial" w:hAnsi="Arial" w:cs="Arial"/>
          <w:i/>
          <w:iCs/>
        </w:rPr>
        <w:t xml:space="preserve">Haemonchus placei (L4), Cooperia </w:t>
      </w:r>
      <w:r w:rsidRPr="002468A2">
        <w:rPr>
          <w:rFonts w:ascii="Arial" w:hAnsi="Arial" w:cs="Arial"/>
        </w:rPr>
        <w:t xml:space="preserve">spp, </w:t>
      </w:r>
      <w:r w:rsidRPr="002468A2">
        <w:rPr>
          <w:rFonts w:ascii="Arial" w:hAnsi="Arial" w:cs="Arial"/>
          <w:i/>
          <w:iCs/>
        </w:rPr>
        <w:t>Trichostrongylus axei</w:t>
      </w:r>
      <w:r w:rsidRPr="002468A2">
        <w:rPr>
          <w:rFonts w:ascii="Arial" w:hAnsi="Arial" w:cs="Arial"/>
        </w:rPr>
        <w:t xml:space="preserve"> and </w:t>
      </w:r>
      <w:r w:rsidRPr="002468A2">
        <w:rPr>
          <w:rFonts w:ascii="Arial" w:hAnsi="Arial" w:cs="Arial"/>
          <w:i/>
          <w:iCs/>
        </w:rPr>
        <w:t>Trichostrongylus colubriformis.</w:t>
      </w:r>
    </w:p>
    <w:p w:rsidR="002468A2" w:rsidRPr="002468A2" w:rsidP="002468A2">
      <w:pPr>
        <w:tabs>
          <w:tab w:val="right" w:pos="1530"/>
        </w:tabs>
        <w:spacing w:line="360" w:lineRule="auto"/>
        <w:ind w:left="567" w:hanging="567"/>
        <w:jc w:val="both"/>
        <w:rPr>
          <w:rFonts w:ascii="Arial" w:hAnsi="Arial" w:cs="Arial"/>
        </w:rPr>
      </w:pPr>
    </w:p>
    <w:p w:rsidR="005E4008" w:rsidRPr="002468A2" w:rsidP="002468A2">
      <w:pPr>
        <w:widowControl w:val="0"/>
        <w:spacing w:line="360" w:lineRule="auto"/>
        <w:ind w:left="567" w:hanging="567"/>
        <w:rPr>
          <w:rFonts w:ascii="Arial" w:hAnsi="Arial" w:cs="Arial"/>
        </w:rPr>
      </w:pPr>
      <w:r w:rsidRPr="002468A2">
        <w:rPr>
          <w:rFonts w:ascii="Arial" w:hAnsi="Arial" w:cs="Arial"/>
          <w:b/>
        </w:rPr>
        <w:t>4.3</w:t>
        <w:tab/>
        <w:t>Contraindications</w:t>
      </w:r>
    </w:p>
    <w:p w:rsidR="005E4008" w:rsidRPr="002468A2" w:rsidP="002468A2">
      <w:pPr>
        <w:tabs>
          <w:tab w:val="left" w:pos="5400"/>
        </w:tabs>
        <w:spacing w:line="360" w:lineRule="auto"/>
        <w:ind w:left="567" w:hanging="567"/>
        <w:rPr>
          <w:rFonts w:ascii="Arial" w:hAnsi="Arial" w:cs="Arial"/>
        </w:rPr>
      </w:pPr>
      <w:r w:rsidR="002468A2">
        <w:rPr>
          <w:rFonts w:ascii="Arial" w:hAnsi="Arial" w:cs="Arial"/>
        </w:rPr>
        <w:tab/>
      </w:r>
      <w:r w:rsidRPr="002468A2">
        <w:rPr>
          <w:rFonts w:ascii="Arial" w:hAnsi="Arial" w:cs="Arial"/>
        </w:rPr>
        <w:t xml:space="preserve">Do not use in cases of known hypersensitivity to the active ingredient. </w:t>
      </w:r>
    </w:p>
    <w:p w:rsidR="002468A2" w:rsidP="002468A2">
      <w:pPr>
        <w:tabs>
          <w:tab w:val="left" w:pos="5400"/>
        </w:tabs>
        <w:spacing w:line="360" w:lineRule="auto"/>
        <w:ind w:left="567" w:hanging="567"/>
        <w:rPr>
          <w:rFonts w:ascii="Arial" w:hAnsi="Arial" w:cs="Arial"/>
        </w:rPr>
      </w:pPr>
      <w:r>
        <w:rPr>
          <w:rFonts w:ascii="Arial" w:hAnsi="Arial" w:cs="Arial"/>
        </w:rPr>
        <w:tab/>
      </w:r>
      <w:r w:rsidRPr="002468A2" w:rsidR="005E4008">
        <w:rPr>
          <w:rFonts w:ascii="Arial" w:hAnsi="Arial" w:cs="Arial"/>
        </w:rPr>
        <w:t>The product has been formulated for topical application specifically for cattle. It should not be administered to other species as severe adverse reactions, including fatalities in dogs, may occur.</w:t>
      </w:r>
    </w:p>
    <w:p w:rsidR="005E4008" w:rsidRPr="002468A2" w:rsidP="002468A2">
      <w:pPr>
        <w:tabs>
          <w:tab w:val="left" w:pos="5400"/>
        </w:tabs>
        <w:spacing w:line="360" w:lineRule="auto"/>
        <w:ind w:left="567" w:hanging="567"/>
        <w:rPr>
          <w:rFonts w:ascii="Arial" w:hAnsi="Arial" w:cs="Arial"/>
          <w:b/>
        </w:rPr>
      </w:pPr>
      <w:r w:rsidR="002468A2">
        <w:rPr>
          <w:rFonts w:ascii="Arial" w:hAnsi="Arial" w:cs="Arial"/>
        </w:rPr>
        <w:br w:type="page"/>
      </w:r>
      <w:r w:rsidRPr="002468A2">
        <w:rPr>
          <w:rFonts w:ascii="Arial" w:hAnsi="Arial" w:cs="Arial"/>
          <w:b/>
        </w:rPr>
        <w:t>4.4</w:t>
        <w:tab/>
        <w:t>Special warnings for each target species</w:t>
      </w:r>
    </w:p>
    <w:p w:rsidR="005E4008" w:rsidRPr="002468A2" w:rsidP="002468A2">
      <w:pPr>
        <w:spacing w:line="360" w:lineRule="auto"/>
        <w:ind w:left="567" w:hanging="567"/>
        <w:rPr>
          <w:rFonts w:ascii="Arial" w:hAnsi="Arial" w:cs="Arial"/>
        </w:rPr>
      </w:pPr>
      <w:r w:rsidRPr="002468A2">
        <w:rPr>
          <w:rFonts w:ascii="Arial" w:hAnsi="Arial" w:cs="Arial"/>
        </w:rPr>
        <w:tab/>
        <w:t xml:space="preserve">Cattle should not be treated when hair or hide is wet. Rain falling on cattle in less than two hours after dosing may result in reduced efficacy. However, the efficacy of the product against established infections of </w:t>
      </w:r>
      <w:r w:rsidRPr="002468A2">
        <w:rPr>
          <w:rFonts w:ascii="Arial" w:hAnsi="Arial" w:cs="Arial"/>
          <w:i/>
          <w:iCs/>
        </w:rPr>
        <w:t>O. ostertagi</w:t>
      </w:r>
      <w:r w:rsidRPr="002468A2">
        <w:rPr>
          <w:rFonts w:ascii="Arial" w:hAnsi="Arial" w:cs="Arial"/>
        </w:rPr>
        <w:t xml:space="preserve"> or </w:t>
      </w:r>
      <w:r w:rsidRPr="002468A2">
        <w:rPr>
          <w:rFonts w:ascii="Arial" w:hAnsi="Arial" w:cs="Arial"/>
          <w:i/>
          <w:iCs/>
        </w:rPr>
        <w:t>D.</w:t>
      </w:r>
      <w:r w:rsidR="002468A2">
        <w:rPr>
          <w:rFonts w:ascii="Arial" w:hAnsi="Arial" w:cs="Arial"/>
          <w:i/>
          <w:iCs/>
        </w:rPr>
        <w:t xml:space="preserve"> </w:t>
      </w:r>
      <w:r w:rsidRPr="002468A2">
        <w:rPr>
          <w:rFonts w:ascii="Arial" w:hAnsi="Arial" w:cs="Arial"/>
          <w:i/>
          <w:iCs/>
        </w:rPr>
        <w:t>viviparus</w:t>
      </w:r>
      <w:r w:rsidRPr="002468A2">
        <w:rPr>
          <w:rFonts w:ascii="Arial" w:hAnsi="Arial" w:cs="Arial"/>
        </w:rPr>
        <w:t xml:space="preserve"> is not adversely affected if the hide is wet or if rain falls shortly after treatment.</w:t>
      </w:r>
    </w:p>
    <w:p w:rsidR="005E4008" w:rsidRPr="002468A2" w:rsidP="002468A2">
      <w:pPr>
        <w:spacing w:line="360" w:lineRule="auto"/>
        <w:ind w:left="567" w:hanging="567"/>
        <w:rPr>
          <w:rFonts w:ascii="Arial" w:hAnsi="Arial" w:cs="Arial"/>
        </w:rPr>
      </w:pPr>
      <w:r w:rsidRPr="002468A2">
        <w:rPr>
          <w:rFonts w:ascii="Arial" w:hAnsi="Arial" w:cs="Arial"/>
        </w:rPr>
        <w:tab/>
        <w:t>Do not apply to areas of skin that may have mange scabs or other lesions or to areas contaminated with mud or manure.</w:t>
      </w:r>
    </w:p>
    <w:p w:rsidR="005E4008" w:rsidRPr="002468A2" w:rsidP="002468A2">
      <w:pPr>
        <w:ind w:left="567" w:hanging="567"/>
        <w:rPr>
          <w:rFonts w:ascii="Arial" w:hAnsi="Arial" w:cs="Arial"/>
        </w:rPr>
      </w:pPr>
    </w:p>
    <w:p w:rsidR="005E4008" w:rsidRPr="002468A2" w:rsidP="002468A2">
      <w:pPr>
        <w:spacing w:line="360" w:lineRule="auto"/>
        <w:ind w:left="567" w:hanging="567"/>
        <w:rPr>
          <w:rFonts w:ascii="Arial" w:hAnsi="Arial" w:cs="Arial"/>
        </w:rPr>
      </w:pPr>
      <w:r w:rsidRPr="002468A2">
        <w:rPr>
          <w:rFonts w:ascii="Arial" w:hAnsi="Arial" w:cs="Arial"/>
        </w:rPr>
        <w:tab/>
        <w:t>Care should be taken to avoid the following practices because they increase the risk of development of resistance and could ultimately result in ineffective therapy:</w:t>
      </w:r>
    </w:p>
    <w:p w:rsidR="005E4008" w:rsidRPr="002468A2" w:rsidP="002468A2">
      <w:pPr>
        <w:numPr>
          <w:ilvl w:val="0"/>
          <w:numId w:val="3"/>
        </w:numPr>
        <w:spacing w:line="360" w:lineRule="auto"/>
        <w:ind w:left="567" w:firstLine="0"/>
        <w:rPr>
          <w:rFonts w:ascii="Arial" w:hAnsi="Arial" w:cs="Arial"/>
        </w:rPr>
      </w:pPr>
      <w:r w:rsidRPr="002468A2">
        <w:rPr>
          <w:rFonts w:ascii="Arial" w:hAnsi="Arial" w:cs="Arial"/>
        </w:rPr>
        <w:t>Too frequent and repeated use of anthelmintics from the same class, over an extended period of time.</w:t>
      </w:r>
    </w:p>
    <w:p w:rsidR="005E4008" w:rsidRPr="002468A2" w:rsidP="002468A2">
      <w:pPr>
        <w:numPr>
          <w:ilvl w:val="0"/>
          <w:numId w:val="3"/>
        </w:numPr>
        <w:spacing w:line="360" w:lineRule="auto"/>
        <w:ind w:left="567" w:firstLine="0"/>
        <w:rPr>
          <w:rFonts w:ascii="Arial" w:hAnsi="Arial" w:cs="Arial"/>
        </w:rPr>
      </w:pPr>
      <w:r w:rsidRPr="002468A2">
        <w:rPr>
          <w:rFonts w:ascii="Arial" w:hAnsi="Arial" w:cs="Arial"/>
        </w:rPr>
        <w:t>Underdosing, which may be due to underestimation of body weight, misadministration of the product, or lack of calibration of the dosing device.</w:t>
      </w:r>
    </w:p>
    <w:p w:rsidR="005E4008" w:rsidRPr="002468A2" w:rsidP="002468A2">
      <w:pPr>
        <w:ind w:left="567" w:hanging="567"/>
        <w:rPr>
          <w:rFonts w:ascii="Arial" w:hAnsi="Arial" w:cs="Arial"/>
        </w:rPr>
      </w:pPr>
    </w:p>
    <w:p w:rsidR="005E4008" w:rsidRPr="002468A2" w:rsidP="002468A2">
      <w:pPr>
        <w:spacing w:line="360" w:lineRule="auto"/>
        <w:ind w:left="567" w:hanging="567"/>
        <w:rPr>
          <w:rFonts w:ascii="Arial" w:hAnsi="Arial" w:cs="Arial"/>
        </w:rPr>
      </w:pPr>
      <w:r w:rsidRPr="002468A2">
        <w:rPr>
          <w:rFonts w:ascii="Arial" w:hAnsi="Arial" w:cs="Arial"/>
        </w:rPr>
        <w:tab/>
        <w:t>Suspected clinical cases of resistance to anthelmintics should be further investigated using appropriate tests (e.g. Faecal Egg Count Reduction Test). Where the results of the test(s) strongly suggest resistance to a particular anthelmintic, an anthelmintic belonging to another pharmacological class and having a different mode of action should be used.</w:t>
      </w:r>
    </w:p>
    <w:p w:rsidR="005E4008" w:rsidRPr="002468A2" w:rsidP="002468A2">
      <w:pPr>
        <w:ind w:left="567" w:hanging="567"/>
        <w:rPr>
          <w:rFonts w:ascii="Arial" w:hAnsi="Arial" w:cs="Arial"/>
        </w:rPr>
      </w:pPr>
    </w:p>
    <w:p w:rsidR="005E4008" w:rsidP="002468A2">
      <w:pPr>
        <w:spacing w:line="360" w:lineRule="auto"/>
        <w:ind w:left="567" w:hanging="567"/>
        <w:rPr>
          <w:rFonts w:ascii="Arial" w:hAnsi="Arial" w:cs="Arial"/>
        </w:rPr>
      </w:pPr>
      <w:r w:rsidRPr="002468A2">
        <w:rPr>
          <w:rFonts w:ascii="Arial" w:hAnsi="Arial" w:cs="Arial"/>
        </w:rPr>
        <w:tab/>
        <w:t>Resistance to ivermectin has been reported in Ostertagia ostertagi in cattle. Therefore, the use of this product should be based on local (region, farm) epidemiological information about susceptibility of this helminth species and recommendations on how to limit further selection for resistance to anthelmintics.</w:t>
      </w:r>
    </w:p>
    <w:p w:rsidR="002468A2" w:rsidRPr="002468A2" w:rsidP="002468A2">
      <w:pPr>
        <w:spacing w:line="360" w:lineRule="auto"/>
        <w:ind w:left="567" w:hanging="567"/>
        <w:rPr>
          <w:rFonts w:ascii="Arial" w:hAnsi="Arial" w:cs="Arial"/>
        </w:rPr>
      </w:pPr>
    </w:p>
    <w:p w:rsidR="005E4008" w:rsidRPr="002468A2" w:rsidP="002468A2">
      <w:pPr>
        <w:widowControl w:val="0"/>
        <w:spacing w:line="360" w:lineRule="auto"/>
        <w:ind w:left="567" w:hanging="567"/>
        <w:rPr>
          <w:rFonts w:ascii="Arial" w:hAnsi="Arial" w:cs="Arial"/>
        </w:rPr>
      </w:pPr>
      <w:r w:rsidRPr="002468A2">
        <w:rPr>
          <w:rFonts w:ascii="Arial" w:hAnsi="Arial" w:cs="Arial"/>
          <w:b/>
        </w:rPr>
        <w:t>4.5</w:t>
        <w:tab/>
        <w:t>Special precautions for use</w:t>
      </w:r>
    </w:p>
    <w:p w:rsidR="005E4008" w:rsidRPr="002468A2" w:rsidP="002468A2">
      <w:pPr>
        <w:widowControl w:val="0"/>
        <w:spacing w:line="360" w:lineRule="auto"/>
        <w:ind w:left="567" w:hanging="567"/>
        <w:rPr>
          <w:rFonts w:ascii="Arial" w:hAnsi="Arial" w:cs="Arial"/>
          <w:b/>
        </w:rPr>
      </w:pPr>
      <w:r w:rsidRPr="002468A2">
        <w:rPr>
          <w:rFonts w:ascii="Arial" w:hAnsi="Arial" w:cs="Arial"/>
          <w:b/>
        </w:rPr>
        <w:tab/>
        <w:t>Special precautions for use in animals</w:t>
      </w:r>
    </w:p>
    <w:p w:rsidR="005E4008" w:rsidRPr="002468A2" w:rsidP="002468A2">
      <w:pPr>
        <w:pStyle w:val="BodyTextIndent2"/>
        <w:spacing w:line="360" w:lineRule="auto"/>
        <w:ind w:left="567" w:hanging="567"/>
        <w:rPr>
          <w:rFonts w:ascii="Arial" w:hAnsi="Arial" w:cs="Arial"/>
          <w:bCs/>
          <w:szCs w:val="24"/>
        </w:rPr>
      </w:pPr>
      <w:r w:rsidR="002468A2">
        <w:rPr>
          <w:rFonts w:ascii="Arial" w:hAnsi="Arial" w:cs="Arial"/>
          <w:bCs/>
          <w:szCs w:val="24"/>
        </w:rPr>
        <w:tab/>
      </w:r>
      <w:r w:rsidRPr="002468A2">
        <w:rPr>
          <w:rFonts w:ascii="Arial" w:hAnsi="Arial" w:cs="Arial"/>
          <w:bCs/>
          <w:szCs w:val="24"/>
        </w:rPr>
        <w:t xml:space="preserve">Ivermectins may not be well tolerated in all non-target species. Cases of intolerance with fatal outcome are reported in dogs, especially Collies, Old English Sheepdogs and related breeds or crosses, and also in turtles/tortoises. To avoid secondary reactions due to the death of </w:t>
      </w:r>
      <w:r w:rsidRPr="002468A2">
        <w:rPr>
          <w:rFonts w:ascii="Arial" w:hAnsi="Arial" w:cs="Arial"/>
          <w:bCs/>
          <w:i/>
          <w:iCs/>
          <w:szCs w:val="24"/>
        </w:rPr>
        <w:t>Hypoderma</w:t>
      </w:r>
      <w:r w:rsidRPr="002468A2">
        <w:rPr>
          <w:rFonts w:ascii="Arial" w:hAnsi="Arial" w:cs="Arial"/>
          <w:bCs/>
          <w:szCs w:val="24"/>
        </w:rPr>
        <w:t xml:space="preserve"> larvae in the oesophagus or in the spine, it is recommended to administer the product at the end of the period of warble fly activity and before the larvae reach their resting site. As Ivermectin is extremely dangerous to fish and aquatic life, treated animals should not have direct access to surface water and ditches during treatment.</w:t>
      </w:r>
    </w:p>
    <w:p w:rsidR="005E4008" w:rsidRPr="002468A2" w:rsidP="002468A2">
      <w:pPr>
        <w:widowControl w:val="0"/>
        <w:spacing w:line="360" w:lineRule="auto"/>
        <w:ind w:left="567" w:hanging="567"/>
        <w:rPr>
          <w:rFonts w:ascii="Arial" w:hAnsi="Arial" w:cs="Arial"/>
          <w:b/>
        </w:rPr>
      </w:pPr>
      <w:r w:rsidRPr="002468A2">
        <w:rPr>
          <w:rFonts w:ascii="Arial" w:hAnsi="Arial" w:cs="Arial"/>
          <w:b/>
        </w:rPr>
        <w:tab/>
        <w:t>Special precautions to be taken by the person administering the veterinary medicinal product to animals</w:t>
      </w:r>
    </w:p>
    <w:p w:rsidR="005E4008" w:rsidRPr="002468A2" w:rsidP="002468A2">
      <w:pPr>
        <w:spacing w:line="360" w:lineRule="auto"/>
        <w:ind w:left="567" w:hanging="567"/>
        <w:rPr>
          <w:rFonts w:ascii="Arial" w:hAnsi="Arial" w:cs="Arial"/>
        </w:rPr>
      </w:pPr>
      <w:r w:rsidRPr="002468A2">
        <w:rPr>
          <w:rFonts w:ascii="Arial" w:hAnsi="Arial" w:cs="Arial"/>
        </w:rPr>
        <w:tab/>
        <w:t xml:space="preserve">The product may be irritating to human skin and eyes and the user should be careful not to apply it to himself or other persons. Operators should wear rubber gloves and boots with a waterproof coat when applying the product. Protective clothing should be washed after use. Use only in well-ventilated areas or outdoors. </w:t>
      </w:r>
    </w:p>
    <w:p w:rsidR="005E4008" w:rsidRPr="002468A2" w:rsidP="002468A2">
      <w:pPr>
        <w:spacing w:line="360" w:lineRule="auto"/>
        <w:ind w:left="567" w:hanging="567"/>
        <w:rPr>
          <w:rFonts w:ascii="Arial" w:hAnsi="Arial" w:cs="Arial"/>
        </w:rPr>
      </w:pPr>
      <w:r w:rsidRPr="002468A2">
        <w:rPr>
          <w:rFonts w:ascii="Arial" w:hAnsi="Arial" w:cs="Arial"/>
        </w:rPr>
        <w:tab/>
        <w:t xml:space="preserve">HIGHLY FLAMMABLE. </w:t>
      </w:r>
    </w:p>
    <w:p w:rsidR="005E4008" w:rsidRPr="002468A2" w:rsidP="002468A2">
      <w:pPr>
        <w:spacing w:line="360" w:lineRule="auto"/>
        <w:ind w:left="567" w:hanging="567"/>
        <w:rPr>
          <w:rFonts w:ascii="Arial" w:hAnsi="Arial" w:cs="Arial"/>
        </w:rPr>
      </w:pPr>
      <w:r w:rsidRPr="002468A2">
        <w:rPr>
          <w:rFonts w:ascii="Arial" w:hAnsi="Arial" w:cs="Arial"/>
        </w:rPr>
        <w:tab/>
        <w:t xml:space="preserve">Keep away from heat, spark, open flame or other source of ignition.  Do not </w:t>
      </w:r>
      <w:r w:rsidR="002468A2">
        <w:rPr>
          <w:rFonts w:ascii="Arial" w:hAnsi="Arial" w:cs="Arial"/>
        </w:rPr>
        <w:t>e</w:t>
      </w:r>
      <w:r w:rsidRPr="002468A2">
        <w:rPr>
          <w:rFonts w:ascii="Arial" w:hAnsi="Arial" w:cs="Arial"/>
        </w:rPr>
        <w:t>at, drink or smoke whilst handling the product.</w:t>
      </w:r>
    </w:p>
    <w:p w:rsidR="005E4008" w:rsidRPr="002468A2" w:rsidP="002468A2">
      <w:pPr>
        <w:spacing w:line="360" w:lineRule="auto"/>
        <w:ind w:left="567" w:hanging="567"/>
        <w:rPr>
          <w:rFonts w:ascii="Arial" w:hAnsi="Arial" w:cs="Arial"/>
        </w:rPr>
      </w:pPr>
      <w:r w:rsidRPr="002468A2">
        <w:rPr>
          <w:rFonts w:ascii="Arial" w:hAnsi="Arial" w:cs="Arial"/>
        </w:rPr>
        <w:tab/>
        <w:t>As absorption through skin can occur, in the event of accidental skin contact the affected area should be washed immediately with soap and water.</w:t>
      </w:r>
    </w:p>
    <w:p w:rsidR="005E4008" w:rsidP="002468A2">
      <w:pPr>
        <w:spacing w:line="360" w:lineRule="auto"/>
        <w:ind w:left="567" w:hanging="567"/>
        <w:rPr>
          <w:rFonts w:ascii="Arial" w:hAnsi="Arial" w:cs="Arial"/>
        </w:rPr>
      </w:pPr>
      <w:r w:rsidRPr="002468A2">
        <w:rPr>
          <w:rFonts w:ascii="Arial" w:hAnsi="Arial" w:cs="Arial"/>
        </w:rPr>
        <w:tab/>
        <w:t>If accidental eye exposure occurs, flush the eyes immediately with water and seek medical attention.  Wash hands after use.</w:t>
      </w:r>
    </w:p>
    <w:p w:rsidR="002468A2" w:rsidRPr="002468A2" w:rsidP="002468A2">
      <w:pPr>
        <w:spacing w:line="360" w:lineRule="auto"/>
        <w:ind w:left="567" w:hanging="567"/>
        <w:rPr>
          <w:rFonts w:ascii="Arial" w:hAnsi="Arial" w:cs="Arial"/>
        </w:rPr>
      </w:pPr>
    </w:p>
    <w:p w:rsidR="005E4008" w:rsidRPr="002468A2" w:rsidP="002468A2">
      <w:pPr>
        <w:ind w:left="567" w:hanging="567"/>
        <w:rPr>
          <w:rFonts w:ascii="Arial" w:hAnsi="Arial" w:cs="Arial"/>
        </w:rPr>
      </w:pPr>
      <w:r w:rsidRPr="002468A2">
        <w:rPr>
          <w:rFonts w:ascii="Arial" w:hAnsi="Arial" w:cs="Arial"/>
          <w:b/>
        </w:rPr>
        <w:t>4.6</w:t>
        <w:tab/>
        <w:t>Adverse reactions (frequency and seriousness)</w:t>
      </w:r>
    </w:p>
    <w:p w:rsidR="005E4008" w:rsidRPr="002468A2" w:rsidP="002468A2">
      <w:pPr>
        <w:tabs>
          <w:tab w:val="right" w:pos="1530"/>
        </w:tabs>
        <w:spacing w:line="360" w:lineRule="auto"/>
        <w:ind w:left="567" w:hanging="567"/>
        <w:rPr>
          <w:rFonts w:ascii="Arial" w:hAnsi="Arial" w:cs="Arial"/>
        </w:rPr>
      </w:pPr>
      <w:r w:rsidRPr="002468A2">
        <w:rPr>
          <w:rFonts w:ascii="Arial" w:hAnsi="Arial" w:cs="Arial"/>
        </w:rPr>
        <w:tab/>
        <w:tab/>
        <w:t xml:space="preserve">Occasionally slight irritation at the application site may occur. However, usually these irritations rapidly disappear without treatment. </w:t>
      </w:r>
    </w:p>
    <w:p w:rsidR="005E4008" w:rsidRPr="002468A2" w:rsidP="002468A2">
      <w:pPr>
        <w:widowControl w:val="0"/>
        <w:ind w:left="567" w:hanging="567"/>
        <w:rPr>
          <w:rFonts w:ascii="Arial" w:hAnsi="Arial" w:cs="Arial"/>
          <w:b/>
        </w:rPr>
      </w:pPr>
    </w:p>
    <w:p w:rsidR="005E4008" w:rsidRPr="002468A2" w:rsidP="002468A2">
      <w:pPr>
        <w:widowControl w:val="0"/>
        <w:spacing w:line="360" w:lineRule="auto"/>
        <w:ind w:left="567" w:hanging="567"/>
        <w:rPr>
          <w:rFonts w:ascii="Arial" w:hAnsi="Arial" w:cs="Arial"/>
        </w:rPr>
      </w:pPr>
      <w:r w:rsidRPr="002468A2">
        <w:rPr>
          <w:rFonts w:ascii="Arial" w:hAnsi="Arial" w:cs="Arial"/>
          <w:b/>
        </w:rPr>
        <w:t>4.7</w:t>
        <w:tab/>
        <w:t>Use during pregnancy, lactation or lay</w:t>
      </w:r>
    </w:p>
    <w:p w:rsidR="005E4008" w:rsidRPr="002468A2" w:rsidP="002468A2">
      <w:pPr>
        <w:tabs>
          <w:tab w:val="left" w:pos="5400"/>
        </w:tabs>
        <w:spacing w:line="360" w:lineRule="auto"/>
        <w:ind w:left="567" w:hanging="567"/>
        <w:rPr>
          <w:rFonts w:ascii="Arial" w:hAnsi="Arial" w:cs="Arial"/>
        </w:rPr>
      </w:pPr>
      <w:r w:rsidRPr="002468A2">
        <w:rPr>
          <w:rFonts w:ascii="Arial" w:hAnsi="Arial" w:cs="Arial"/>
        </w:rPr>
        <w:tab/>
        <w:t>The product can be used during pregnancy and lactation.</w:t>
      </w:r>
    </w:p>
    <w:p w:rsidR="005E4008" w:rsidRPr="002468A2" w:rsidP="002468A2">
      <w:pPr>
        <w:tabs>
          <w:tab w:val="left" w:pos="5400"/>
        </w:tabs>
        <w:spacing w:line="360" w:lineRule="auto"/>
        <w:ind w:left="567" w:hanging="567"/>
        <w:rPr>
          <w:rFonts w:ascii="Arial" w:hAnsi="Arial" w:cs="Arial"/>
        </w:rPr>
      </w:pPr>
      <w:r w:rsidRPr="002468A2">
        <w:rPr>
          <w:rFonts w:ascii="Arial" w:hAnsi="Arial" w:cs="Arial"/>
        </w:rPr>
        <w:tab/>
        <w:t xml:space="preserve">The product will not affect the fertility of cows and bulls and can be given to all ages of animals including young calves. </w:t>
      </w:r>
    </w:p>
    <w:p w:rsidR="005E4008" w:rsidRPr="002468A2" w:rsidP="002468A2">
      <w:pPr>
        <w:ind w:left="567" w:hanging="567"/>
        <w:rPr>
          <w:rFonts w:ascii="Arial" w:hAnsi="Arial" w:cs="Arial"/>
        </w:rPr>
      </w:pPr>
    </w:p>
    <w:p w:rsidR="005E4008" w:rsidRPr="002468A2" w:rsidP="002468A2">
      <w:pPr>
        <w:widowControl w:val="0"/>
        <w:spacing w:line="360" w:lineRule="auto"/>
        <w:ind w:left="567" w:hanging="567"/>
        <w:rPr>
          <w:rFonts w:ascii="Arial" w:hAnsi="Arial" w:cs="Arial"/>
        </w:rPr>
      </w:pPr>
      <w:r w:rsidRPr="002468A2">
        <w:rPr>
          <w:rFonts w:ascii="Arial" w:hAnsi="Arial" w:cs="Arial"/>
          <w:b/>
        </w:rPr>
        <w:t>4.8</w:t>
        <w:tab/>
        <w:t>Interaction with other medicinal products and other forms of interaction</w:t>
      </w:r>
    </w:p>
    <w:p w:rsidR="00A96AEC" w:rsidP="002468A2">
      <w:pPr>
        <w:spacing w:line="360" w:lineRule="auto"/>
        <w:ind w:left="567" w:hanging="567"/>
        <w:jc w:val="both"/>
        <w:rPr>
          <w:rFonts w:ascii="Arial" w:hAnsi="Arial" w:cs="Arial"/>
        </w:rPr>
      </w:pPr>
      <w:r>
        <w:rPr>
          <w:rFonts w:ascii="Arial" w:hAnsi="Arial" w:cs="Arial"/>
        </w:rPr>
        <w:tab/>
        <w:t>None known</w:t>
      </w:r>
    </w:p>
    <w:p w:rsidR="005E4008" w:rsidRPr="002468A2" w:rsidP="00A96AEC">
      <w:pPr>
        <w:spacing w:line="360" w:lineRule="auto"/>
        <w:ind w:left="567" w:hanging="567"/>
        <w:jc w:val="both"/>
        <w:rPr>
          <w:rFonts w:ascii="Arial" w:hAnsi="Arial" w:cs="Arial"/>
          <w:b/>
          <w:bCs/>
        </w:rPr>
      </w:pPr>
      <w:r w:rsidR="00A96AEC">
        <w:rPr>
          <w:rFonts w:ascii="Arial" w:hAnsi="Arial" w:cs="Arial"/>
        </w:rPr>
        <w:br w:type="page"/>
      </w:r>
      <w:r w:rsidRPr="002468A2">
        <w:rPr>
          <w:rFonts w:ascii="Arial" w:hAnsi="Arial" w:cs="Arial"/>
          <w:b/>
        </w:rPr>
        <w:t>4.9</w:t>
        <w:tab/>
      </w:r>
      <w:r w:rsidRPr="002468A2">
        <w:rPr>
          <w:rFonts w:ascii="Arial" w:hAnsi="Arial" w:cs="Arial"/>
          <w:b/>
          <w:bCs/>
        </w:rPr>
        <w:t>Amounts to be administered and administration route</w:t>
      </w:r>
    </w:p>
    <w:p w:rsidR="005E4008" w:rsidRPr="002468A2" w:rsidP="002468A2">
      <w:pPr>
        <w:widowControl w:val="0"/>
        <w:spacing w:line="360" w:lineRule="auto"/>
        <w:ind w:left="567" w:hanging="567"/>
        <w:rPr>
          <w:rFonts w:ascii="Arial" w:hAnsi="Arial" w:cs="Arial"/>
        </w:rPr>
      </w:pPr>
      <w:r w:rsidRPr="002468A2">
        <w:rPr>
          <w:rFonts w:ascii="Arial" w:hAnsi="Arial" w:cs="Arial"/>
        </w:rPr>
        <w:tab/>
        <w:t>For single topical administration</w:t>
      </w:r>
    </w:p>
    <w:p w:rsidR="005E4008" w:rsidRPr="002468A2" w:rsidP="002468A2">
      <w:pPr>
        <w:widowControl w:val="0"/>
        <w:spacing w:line="360" w:lineRule="auto"/>
        <w:ind w:left="567" w:hanging="567"/>
        <w:rPr>
          <w:rFonts w:ascii="Arial" w:hAnsi="Arial" w:cs="Arial"/>
        </w:rPr>
      </w:pPr>
      <w:r w:rsidRPr="002468A2">
        <w:rPr>
          <w:rFonts w:ascii="Arial" w:hAnsi="Arial" w:cs="Arial"/>
        </w:rPr>
        <w:tab/>
        <w:t>Dosage: 1 ml per 10 kg bodyweight (based on a recommended dose of 500 micrograms/kg bodyweight).</w:t>
      </w:r>
    </w:p>
    <w:p w:rsidR="005E4008" w:rsidRPr="002468A2" w:rsidP="002468A2">
      <w:pPr>
        <w:widowControl w:val="0"/>
        <w:spacing w:line="360" w:lineRule="auto"/>
        <w:ind w:left="567" w:hanging="567"/>
        <w:rPr>
          <w:rFonts w:ascii="Arial" w:hAnsi="Arial" w:cs="Arial"/>
        </w:rPr>
      </w:pPr>
      <w:r w:rsidRPr="002468A2">
        <w:rPr>
          <w:rFonts w:ascii="Arial" w:hAnsi="Arial" w:cs="Arial"/>
        </w:rPr>
        <w:tab/>
        <w:t xml:space="preserve">To ensure administration of a correct dose, body weight should be determined as accurately as possible. </w:t>
      </w:r>
    </w:p>
    <w:p w:rsidR="005E4008" w:rsidRPr="002468A2" w:rsidP="002468A2">
      <w:pPr>
        <w:widowControl w:val="0"/>
        <w:spacing w:line="360" w:lineRule="auto"/>
        <w:ind w:left="567" w:hanging="567"/>
        <w:rPr>
          <w:rFonts w:ascii="Arial" w:hAnsi="Arial" w:cs="Arial"/>
        </w:rPr>
      </w:pPr>
      <w:r w:rsidRPr="002468A2">
        <w:rPr>
          <w:rFonts w:ascii="Arial" w:hAnsi="Arial" w:cs="Arial"/>
        </w:rPr>
        <w:tab/>
        <w:t>If animals are to be treated collectively rather than individually they should be grouped according to their bodyweight and dosed accordingly, in order to avoid under- or over- dosing.</w:t>
      </w:r>
    </w:p>
    <w:p w:rsidR="005E4008" w:rsidRPr="002468A2" w:rsidP="002468A2">
      <w:pPr>
        <w:widowControl w:val="0"/>
        <w:spacing w:line="360" w:lineRule="auto"/>
        <w:ind w:left="567" w:hanging="567"/>
        <w:rPr>
          <w:rFonts w:ascii="Arial" w:hAnsi="Arial" w:cs="Arial"/>
          <w:bCs/>
        </w:rPr>
      </w:pPr>
      <w:r w:rsidRPr="002468A2">
        <w:rPr>
          <w:rFonts w:ascii="Arial" w:hAnsi="Arial" w:cs="Arial"/>
        </w:rPr>
        <w:tab/>
        <w:t>Administration: Pour-on use. The formulation should be applied along the mid-line of the back in a narrow strip between the withers and tailhead. The product should be used with appropriate dosing equipment.</w:t>
      </w:r>
      <w:r w:rsidRPr="002468A2">
        <w:rPr>
          <w:rFonts w:ascii="Arial" w:hAnsi="Arial" w:cs="Arial"/>
          <w:bCs/>
        </w:rPr>
        <w:t xml:space="preserve"> The interval between 2 treatments should be at least 28 days.</w:t>
      </w:r>
    </w:p>
    <w:p w:rsidR="005E4008" w:rsidRPr="002468A2" w:rsidP="002468A2">
      <w:pPr>
        <w:widowControl w:val="0"/>
        <w:spacing w:line="360" w:lineRule="auto"/>
        <w:ind w:left="567" w:hanging="567"/>
        <w:rPr>
          <w:rFonts w:ascii="Arial" w:hAnsi="Arial" w:cs="Arial"/>
          <w:bCs/>
        </w:rPr>
      </w:pPr>
    </w:p>
    <w:p w:rsidR="005E4008" w:rsidRPr="002468A2" w:rsidP="002468A2">
      <w:pPr>
        <w:widowControl w:val="0"/>
        <w:spacing w:line="360" w:lineRule="auto"/>
        <w:ind w:left="567" w:hanging="567"/>
        <w:rPr>
          <w:rFonts w:ascii="Arial" w:hAnsi="Arial" w:cs="Arial"/>
          <w:b/>
        </w:rPr>
      </w:pPr>
      <w:r w:rsidRPr="002468A2">
        <w:rPr>
          <w:rFonts w:ascii="Arial" w:hAnsi="Arial" w:cs="Arial"/>
          <w:b/>
        </w:rPr>
        <w:t>4.10</w:t>
        <w:tab/>
        <w:t>Overdose (symptoms, emergency procedures, antidotes), if necessary</w:t>
      </w:r>
    </w:p>
    <w:p w:rsidR="005E4008" w:rsidRPr="002468A2" w:rsidP="002468A2">
      <w:pPr>
        <w:spacing w:line="360" w:lineRule="auto"/>
        <w:ind w:left="567" w:hanging="567"/>
        <w:rPr>
          <w:rFonts w:ascii="Arial" w:hAnsi="Arial" w:cs="Arial"/>
        </w:rPr>
      </w:pPr>
      <w:r w:rsidRPr="002468A2">
        <w:rPr>
          <w:rFonts w:ascii="Arial" w:hAnsi="Arial" w:cs="Arial"/>
        </w:rPr>
        <w:tab/>
        <w:t>No sign of toxicity appeared up to 1.5 mg/kg (3 times the recommended dose rate).</w:t>
      </w:r>
    </w:p>
    <w:p w:rsidR="005E4008" w:rsidP="002468A2">
      <w:pPr>
        <w:spacing w:line="360" w:lineRule="auto"/>
        <w:ind w:left="567" w:hanging="567"/>
        <w:rPr>
          <w:rFonts w:ascii="Arial" w:hAnsi="Arial" w:cs="Arial"/>
        </w:rPr>
      </w:pPr>
      <w:r w:rsidRPr="002468A2">
        <w:rPr>
          <w:rFonts w:ascii="Arial" w:hAnsi="Arial" w:cs="Arial"/>
        </w:rPr>
        <w:tab/>
        <w:t>No antidote has been identified. The signs of overdose can be trembling, convulsions and coma. In case of overdose symptomatic treatment should be given.</w:t>
      </w:r>
    </w:p>
    <w:p w:rsidR="00A96AEC" w:rsidRPr="002468A2" w:rsidP="002468A2">
      <w:pPr>
        <w:spacing w:line="360" w:lineRule="auto"/>
        <w:ind w:left="567" w:hanging="567"/>
        <w:rPr>
          <w:rFonts w:ascii="Arial" w:hAnsi="Arial" w:cs="Arial"/>
        </w:rPr>
      </w:pPr>
    </w:p>
    <w:p w:rsidR="005E4008" w:rsidRPr="002468A2" w:rsidP="002468A2">
      <w:pPr>
        <w:widowControl w:val="0"/>
        <w:spacing w:line="360" w:lineRule="auto"/>
        <w:ind w:left="567" w:hanging="567"/>
        <w:rPr>
          <w:rFonts w:ascii="Arial" w:hAnsi="Arial" w:cs="Arial"/>
        </w:rPr>
      </w:pPr>
      <w:r w:rsidRPr="002468A2">
        <w:rPr>
          <w:rFonts w:ascii="Arial" w:hAnsi="Arial" w:cs="Arial"/>
          <w:b/>
        </w:rPr>
        <w:t>4.11</w:t>
        <w:tab/>
        <w:t>Withdrawal period(s)</w:t>
      </w:r>
    </w:p>
    <w:p w:rsidR="005E4008" w:rsidRPr="002468A2" w:rsidP="00A96AEC">
      <w:pPr>
        <w:spacing w:line="360" w:lineRule="auto"/>
        <w:ind w:left="567"/>
        <w:rPr>
          <w:rFonts w:ascii="Arial" w:hAnsi="Arial" w:cs="Arial"/>
        </w:rPr>
      </w:pPr>
      <w:r w:rsidRPr="002468A2">
        <w:rPr>
          <w:rFonts w:ascii="Arial" w:hAnsi="Arial" w:cs="Arial"/>
        </w:rPr>
        <w:t xml:space="preserve">Meat and offal: </w:t>
        <w:tab/>
        <w:t xml:space="preserve">28 days </w:t>
      </w:r>
    </w:p>
    <w:p w:rsidR="005E4008" w:rsidRPr="002468A2" w:rsidP="00A96AEC">
      <w:pPr>
        <w:spacing w:line="360" w:lineRule="auto"/>
        <w:ind w:left="567"/>
        <w:rPr>
          <w:rFonts w:ascii="Arial" w:hAnsi="Arial" w:cs="Arial"/>
          <w:b/>
          <w:bCs/>
        </w:rPr>
      </w:pPr>
      <w:r w:rsidRPr="002468A2">
        <w:rPr>
          <w:rFonts w:ascii="Arial" w:hAnsi="Arial" w:cs="Arial"/>
        </w:rPr>
        <w:t>Milk:</w:t>
        <w:tab/>
        <w:t>Not permitted for use in lactating cattle producing milk for human consumption. Do not use in non-lactating dairy cows including pregnant dairy heifers within 60 days prior to calving.</w:t>
      </w:r>
    </w:p>
    <w:p w:rsidR="005E4008" w:rsidRPr="002468A2" w:rsidP="002468A2">
      <w:pPr>
        <w:widowControl w:val="0"/>
        <w:spacing w:line="360" w:lineRule="auto"/>
        <w:ind w:left="567" w:hanging="567"/>
        <w:rPr>
          <w:rFonts w:ascii="Arial" w:hAnsi="Arial" w:cs="Arial"/>
          <w:b/>
        </w:rPr>
      </w:pPr>
    </w:p>
    <w:p w:rsidR="005E4008" w:rsidRPr="002468A2" w:rsidP="002468A2">
      <w:pPr>
        <w:widowControl w:val="0"/>
        <w:spacing w:line="360" w:lineRule="auto"/>
        <w:ind w:left="567" w:hanging="567"/>
        <w:rPr>
          <w:rFonts w:ascii="Arial" w:hAnsi="Arial" w:cs="Arial"/>
        </w:rPr>
      </w:pPr>
      <w:r w:rsidRPr="002468A2">
        <w:rPr>
          <w:rFonts w:ascii="Arial" w:hAnsi="Arial" w:cs="Arial"/>
          <w:b/>
        </w:rPr>
        <w:t>5.</w:t>
        <w:tab/>
        <w:t>PHARMACOLOGICAL PROPERTIES</w:t>
      </w:r>
    </w:p>
    <w:p w:rsidR="005E4008" w:rsidRPr="002468A2" w:rsidP="00A96AEC">
      <w:pPr>
        <w:spacing w:line="360" w:lineRule="auto"/>
        <w:ind w:left="567" w:right="-180"/>
        <w:rPr>
          <w:rFonts w:ascii="Arial" w:hAnsi="Arial" w:cs="Arial"/>
        </w:rPr>
      </w:pPr>
      <w:r w:rsidRPr="002468A2">
        <w:rPr>
          <w:rFonts w:ascii="Arial" w:hAnsi="Arial" w:cs="Arial"/>
        </w:rPr>
        <w:t xml:space="preserve">Pharmacotherapeutic Group:  Antiparasitic Products, insecticides and repellents, Endectocides  </w:t>
      </w:r>
    </w:p>
    <w:p w:rsidR="00A96AEC" w:rsidP="002468A2">
      <w:pPr>
        <w:tabs>
          <w:tab w:val="left" w:pos="567"/>
        </w:tabs>
        <w:spacing w:line="360" w:lineRule="auto"/>
        <w:ind w:left="567" w:right="-180" w:hanging="567"/>
        <w:rPr>
          <w:rFonts w:ascii="Arial" w:hAnsi="Arial" w:cs="Arial"/>
        </w:rPr>
      </w:pPr>
      <w:r w:rsidRPr="002468A2" w:rsidR="005E4008">
        <w:rPr>
          <w:rFonts w:ascii="Arial" w:hAnsi="Arial" w:cs="Arial"/>
        </w:rPr>
        <w:tab/>
        <w:t xml:space="preserve">ATCvet code:  QP54AA01. </w:t>
      </w:r>
      <w:r w:rsidRPr="002468A2" w:rsidR="005E4008">
        <w:rPr>
          <w:rFonts w:ascii="Arial" w:hAnsi="Arial" w:cs="Arial"/>
          <w:iCs/>
        </w:rPr>
        <w:t>Ivermectin is a member of the avermectin group.</w:t>
      </w:r>
    </w:p>
    <w:p w:rsidR="005E4008" w:rsidRPr="002468A2" w:rsidP="00A96AEC">
      <w:pPr>
        <w:tabs>
          <w:tab w:val="left" w:pos="567"/>
        </w:tabs>
        <w:spacing w:line="360" w:lineRule="auto"/>
        <w:ind w:left="567" w:right="-180" w:hanging="567"/>
        <w:rPr>
          <w:rFonts w:ascii="Arial" w:hAnsi="Arial" w:cs="Arial"/>
          <w:b/>
        </w:rPr>
      </w:pPr>
      <w:r w:rsidR="00A96AEC">
        <w:rPr>
          <w:rFonts w:ascii="Arial" w:hAnsi="Arial" w:cs="Arial"/>
        </w:rPr>
        <w:br w:type="page"/>
      </w:r>
      <w:r w:rsidRPr="002468A2">
        <w:rPr>
          <w:rFonts w:ascii="Arial" w:hAnsi="Arial" w:cs="Arial"/>
          <w:b/>
        </w:rPr>
        <w:t>5.1</w:t>
        <w:tab/>
        <w:t>Pharmacodynamic properties</w:t>
      </w:r>
    </w:p>
    <w:p w:rsidR="00FE2C32" w:rsidRPr="002468A2" w:rsidP="00A96AEC">
      <w:pPr>
        <w:spacing w:line="360" w:lineRule="auto"/>
        <w:ind w:left="567"/>
        <w:jc w:val="both"/>
        <w:rPr>
          <w:rFonts w:ascii="Arial" w:hAnsi="Arial" w:cs="Arial"/>
        </w:rPr>
      </w:pPr>
      <w:r w:rsidRPr="002468A2" w:rsidR="005E4008">
        <w:rPr>
          <w:rFonts w:ascii="Arial" w:hAnsi="Arial" w:cs="Arial"/>
        </w:rPr>
        <w:t>Ivermectin is a member of the macrocyclic lactone class of endectocides, which have a unique mode of action.  Compounds of the class bind selectively and with high affinity to glutamate-gated chloride ion channels, which occur in invertebrate nerve and muscle cells.  This leads to an increase in the permeability of the cell membrane to chloride ions with hyperpolarization of the nerve or muscle cell, resulting in paralysis and death of the parasite.  Compounds of this class may also interact with other ligand-gated chloride channels, such as those gated by the neurotransmitter gamma-aminobutyric acid (GABA).</w:t>
      </w:r>
    </w:p>
    <w:p w:rsidR="005E4008" w:rsidRPr="002468A2" w:rsidP="00A96AEC">
      <w:pPr>
        <w:spacing w:line="360" w:lineRule="auto"/>
        <w:ind w:left="567"/>
        <w:jc w:val="both"/>
        <w:rPr>
          <w:rFonts w:ascii="Arial" w:hAnsi="Arial" w:cs="Arial"/>
        </w:rPr>
      </w:pPr>
      <w:r w:rsidRPr="002468A2">
        <w:rPr>
          <w:rFonts w:ascii="Arial" w:hAnsi="Arial" w:cs="Arial"/>
        </w:rPr>
        <w:t>The margin of safety for compounds of this class is attributable to the fact that mammals do not have glutamate-gated chloride channels, the macrocyclic lactones have a low affinity for other mammalian ligand-gated chloride channels and they do not readily cross the blood-brain barrier.</w:t>
      </w:r>
    </w:p>
    <w:p w:rsidR="005E4008" w:rsidRPr="002468A2" w:rsidP="002468A2">
      <w:pPr>
        <w:widowControl w:val="0"/>
        <w:ind w:left="567" w:hanging="567"/>
        <w:rPr>
          <w:rFonts w:ascii="Arial" w:hAnsi="Arial" w:cs="Arial"/>
        </w:rPr>
      </w:pPr>
    </w:p>
    <w:p w:rsidR="005E4008" w:rsidRPr="002468A2" w:rsidP="002468A2">
      <w:pPr>
        <w:tabs>
          <w:tab w:val="left" w:pos="567"/>
        </w:tabs>
        <w:spacing w:line="360" w:lineRule="auto"/>
        <w:ind w:left="567" w:hanging="567"/>
        <w:rPr>
          <w:rFonts w:ascii="Arial" w:hAnsi="Arial" w:cs="Arial"/>
        </w:rPr>
      </w:pPr>
      <w:r w:rsidRPr="002468A2">
        <w:rPr>
          <w:rFonts w:ascii="Arial" w:hAnsi="Arial" w:cs="Arial"/>
          <w:b/>
        </w:rPr>
        <w:t>5.2</w:t>
        <w:tab/>
        <w:t>Pharmacokinetic particulars</w:t>
      </w:r>
    </w:p>
    <w:p w:rsidR="005E4008" w:rsidRPr="002468A2" w:rsidP="002468A2">
      <w:pPr>
        <w:pStyle w:val="BodyTextIndent"/>
        <w:spacing w:line="360" w:lineRule="auto"/>
        <w:ind w:left="567" w:hanging="567"/>
        <w:rPr>
          <w:rFonts w:ascii="Arial" w:hAnsi="Arial" w:cs="Arial"/>
          <w:bCs/>
          <w:sz w:val="24"/>
        </w:rPr>
      </w:pPr>
      <w:r w:rsidR="00A96AEC">
        <w:rPr>
          <w:rFonts w:ascii="Arial" w:hAnsi="Arial" w:cs="Arial"/>
          <w:bCs/>
          <w:sz w:val="24"/>
        </w:rPr>
        <w:tab/>
      </w:r>
      <w:r w:rsidRPr="002468A2">
        <w:rPr>
          <w:rFonts w:ascii="Arial" w:hAnsi="Arial" w:cs="Arial"/>
          <w:bCs/>
          <w:sz w:val="24"/>
        </w:rPr>
        <w:t>After topical administration of the product at the recommended dose of 500 microgram per kg bodyweight, plasma concentrations increased to an average plateau of 12-16 ng/ml between 36-144 hours post treatment (T</w:t>
      </w:r>
      <w:r w:rsidRPr="002468A2">
        <w:rPr>
          <w:rFonts w:ascii="Arial" w:hAnsi="Arial" w:cs="Arial"/>
          <w:bCs/>
          <w:sz w:val="24"/>
        </w:rPr>
        <w:softHyphen/>
      </w:r>
      <w:r w:rsidRPr="002468A2">
        <w:rPr>
          <w:rFonts w:ascii="Arial" w:hAnsi="Arial" w:cs="Arial"/>
          <w:bCs/>
          <w:sz w:val="24"/>
          <w:vertAlign w:val="subscript"/>
        </w:rPr>
        <w:t>max</w:t>
      </w:r>
      <w:r w:rsidRPr="002468A2">
        <w:rPr>
          <w:rFonts w:ascii="Arial" w:hAnsi="Arial" w:cs="Arial"/>
          <w:bCs/>
          <w:sz w:val="24"/>
        </w:rPr>
        <w:t xml:space="preserve"> is 3.7 days) with a Cmax of 16.89 ng/ml.  After day 6 the ivermectin levels gradually decreased to an average of less than 2 ng/ml at 28 days. The concentrations mentioned relate to the main component of ivermectin, 22,</w:t>
      </w:r>
      <w:r w:rsidRPr="002468A2" w:rsidR="00FE2C32">
        <w:rPr>
          <w:rFonts w:ascii="Arial" w:hAnsi="Arial" w:cs="Arial"/>
          <w:bCs/>
          <w:sz w:val="24"/>
        </w:rPr>
        <w:t xml:space="preserve"> </w:t>
      </w:r>
      <w:r w:rsidRPr="002468A2">
        <w:rPr>
          <w:rFonts w:ascii="Arial" w:hAnsi="Arial" w:cs="Arial"/>
          <w:bCs/>
          <w:sz w:val="24"/>
        </w:rPr>
        <w:t>23-dihydroavermectin B1a. The mean AUC for ivermectin is about 4157ng/ml/hr with an elimination half life of 6.4 days.</w:t>
      </w:r>
    </w:p>
    <w:p w:rsidR="005E4008" w:rsidRPr="002468A2" w:rsidP="002468A2">
      <w:pPr>
        <w:pStyle w:val="BodyTextIndent"/>
        <w:spacing w:line="360" w:lineRule="auto"/>
        <w:ind w:left="567" w:hanging="567"/>
        <w:rPr>
          <w:rFonts w:ascii="Arial" w:hAnsi="Arial" w:cs="Arial"/>
          <w:b/>
          <w:bCs/>
          <w:sz w:val="24"/>
        </w:rPr>
      </w:pPr>
      <w:r w:rsidR="00A96AEC">
        <w:rPr>
          <w:rFonts w:ascii="Arial" w:hAnsi="Arial" w:cs="Arial"/>
          <w:bCs/>
          <w:sz w:val="24"/>
        </w:rPr>
        <w:tab/>
      </w:r>
      <w:r w:rsidRPr="002468A2">
        <w:rPr>
          <w:rFonts w:ascii="Arial" w:hAnsi="Arial" w:cs="Arial"/>
          <w:bCs/>
          <w:sz w:val="24"/>
        </w:rPr>
        <w:t>Liver and fat contain the highest residue levels and muscle the lowest. Ivermectin is mainly excreted in faeces following biliary excretion.</w:t>
      </w:r>
    </w:p>
    <w:p w:rsidR="005E4008" w:rsidRPr="002468A2" w:rsidP="002468A2">
      <w:pPr>
        <w:pStyle w:val="BodyTextIndent"/>
        <w:ind w:left="567" w:hanging="567"/>
        <w:rPr>
          <w:rFonts w:ascii="Arial" w:hAnsi="Arial" w:cs="Arial"/>
          <w:bCs/>
          <w:sz w:val="24"/>
        </w:rPr>
      </w:pPr>
    </w:p>
    <w:p w:rsidR="005E4008" w:rsidRPr="002468A2" w:rsidP="002468A2">
      <w:pPr>
        <w:spacing w:line="480" w:lineRule="auto"/>
        <w:ind w:left="567" w:hanging="567"/>
        <w:rPr>
          <w:rFonts w:ascii="Arial" w:hAnsi="Arial" w:cs="Arial"/>
          <w:b/>
        </w:rPr>
      </w:pPr>
      <w:r w:rsidRPr="002468A2">
        <w:rPr>
          <w:rFonts w:ascii="Arial" w:hAnsi="Arial" w:cs="Arial"/>
          <w:b/>
        </w:rPr>
        <w:t>6.</w:t>
        <w:tab/>
        <w:t>PHARMACEUTICAL PARTICULARS</w:t>
      </w:r>
    </w:p>
    <w:p w:rsidR="005E4008" w:rsidRPr="002468A2" w:rsidP="002468A2">
      <w:pPr>
        <w:widowControl w:val="0"/>
        <w:spacing w:line="360" w:lineRule="auto"/>
        <w:ind w:left="567" w:hanging="567"/>
        <w:rPr>
          <w:rFonts w:ascii="Arial" w:hAnsi="Arial" w:cs="Arial"/>
          <w:b/>
        </w:rPr>
      </w:pPr>
      <w:r w:rsidRPr="002468A2">
        <w:rPr>
          <w:rFonts w:ascii="Arial" w:hAnsi="Arial" w:cs="Arial"/>
          <w:b/>
        </w:rPr>
        <w:t>6.1</w:t>
        <w:tab/>
        <w:t>List of excipients</w:t>
      </w:r>
    </w:p>
    <w:p w:rsidR="005E4008" w:rsidRPr="002468A2" w:rsidP="001E2E53">
      <w:pPr>
        <w:widowControl w:val="0"/>
        <w:spacing w:line="360" w:lineRule="auto"/>
        <w:ind w:left="567"/>
        <w:rPr>
          <w:rFonts w:ascii="Arial" w:hAnsi="Arial" w:cs="Arial"/>
        </w:rPr>
      </w:pPr>
      <w:r w:rsidRPr="002468A2">
        <w:rPr>
          <w:rFonts w:ascii="Arial" w:hAnsi="Arial" w:cs="Arial"/>
        </w:rPr>
        <w:t xml:space="preserve">Crodamol Cap </w:t>
      </w:r>
    </w:p>
    <w:p w:rsidR="005E4008" w:rsidRPr="002468A2" w:rsidP="001E2E53">
      <w:pPr>
        <w:widowControl w:val="0"/>
        <w:spacing w:line="360" w:lineRule="auto"/>
        <w:ind w:left="567"/>
        <w:rPr>
          <w:rFonts w:ascii="Arial" w:hAnsi="Arial" w:cs="Arial"/>
        </w:rPr>
      </w:pPr>
      <w:r w:rsidRPr="002468A2">
        <w:rPr>
          <w:rFonts w:ascii="Arial" w:hAnsi="Arial" w:cs="Arial"/>
        </w:rPr>
        <w:t>Trolamine</w:t>
      </w:r>
    </w:p>
    <w:p w:rsidR="005E4008" w:rsidRPr="002468A2" w:rsidP="001E2E53">
      <w:pPr>
        <w:widowControl w:val="0"/>
        <w:spacing w:line="360" w:lineRule="auto"/>
        <w:ind w:left="567"/>
        <w:rPr>
          <w:rFonts w:ascii="Arial" w:hAnsi="Arial" w:cs="Arial"/>
        </w:rPr>
      </w:pPr>
      <w:r w:rsidRPr="002468A2">
        <w:rPr>
          <w:rFonts w:ascii="Arial" w:hAnsi="Arial" w:cs="Arial"/>
        </w:rPr>
        <w:t>Isopropyl alcohol.</w:t>
      </w:r>
    </w:p>
    <w:p w:rsidR="005E4008" w:rsidRPr="002468A2" w:rsidP="002468A2">
      <w:pPr>
        <w:widowControl w:val="0"/>
        <w:ind w:left="567" w:hanging="567"/>
        <w:rPr>
          <w:rFonts w:ascii="Arial" w:hAnsi="Arial" w:cs="Arial"/>
          <w:b/>
        </w:rPr>
      </w:pPr>
    </w:p>
    <w:p w:rsidR="005E4008" w:rsidRPr="002468A2" w:rsidP="002468A2">
      <w:pPr>
        <w:widowControl w:val="0"/>
        <w:spacing w:line="360" w:lineRule="auto"/>
        <w:ind w:left="567" w:hanging="567"/>
        <w:rPr>
          <w:rFonts w:ascii="Arial" w:hAnsi="Arial" w:cs="Arial"/>
        </w:rPr>
      </w:pPr>
      <w:r w:rsidRPr="002468A2">
        <w:rPr>
          <w:rFonts w:ascii="Arial" w:hAnsi="Arial" w:cs="Arial"/>
          <w:b/>
        </w:rPr>
        <w:t>6.2</w:t>
        <w:tab/>
        <w:t>Incompatibilities</w:t>
      </w:r>
    </w:p>
    <w:p w:rsidR="001E2E53" w:rsidP="001E2E53">
      <w:pPr>
        <w:widowControl w:val="0"/>
        <w:spacing w:line="360" w:lineRule="auto"/>
        <w:ind w:left="567"/>
        <w:rPr>
          <w:rFonts w:ascii="Arial" w:hAnsi="Arial" w:cs="Arial"/>
        </w:rPr>
      </w:pPr>
      <w:r w:rsidRPr="002468A2" w:rsidR="005E4008">
        <w:rPr>
          <w:rFonts w:ascii="Arial" w:hAnsi="Arial" w:cs="Arial"/>
        </w:rPr>
        <w:t>None known</w:t>
      </w:r>
    </w:p>
    <w:p w:rsidR="005E4008" w:rsidRPr="002468A2" w:rsidP="001E2E53">
      <w:pPr>
        <w:widowControl w:val="0"/>
        <w:spacing w:line="360" w:lineRule="auto"/>
        <w:ind w:left="567" w:hanging="567"/>
        <w:rPr>
          <w:rFonts w:ascii="Arial" w:hAnsi="Arial" w:cs="Arial"/>
        </w:rPr>
      </w:pPr>
      <w:r w:rsidR="001E2E53">
        <w:rPr>
          <w:rFonts w:ascii="Arial" w:hAnsi="Arial" w:cs="Arial"/>
        </w:rPr>
        <w:br w:type="page"/>
      </w:r>
      <w:r w:rsidRPr="002468A2">
        <w:rPr>
          <w:rFonts w:ascii="Arial" w:hAnsi="Arial" w:cs="Arial"/>
          <w:b/>
        </w:rPr>
        <w:t>6.3</w:t>
        <w:tab/>
        <w:t xml:space="preserve">Shelf-life </w:t>
      </w:r>
    </w:p>
    <w:p w:rsidR="005E4008" w:rsidRPr="002468A2" w:rsidP="001E2E53">
      <w:pPr>
        <w:widowControl w:val="0"/>
        <w:spacing w:line="360" w:lineRule="auto"/>
        <w:ind w:left="567"/>
        <w:rPr>
          <w:rFonts w:ascii="Arial" w:hAnsi="Arial" w:cs="Arial"/>
        </w:rPr>
      </w:pPr>
      <w:r w:rsidRPr="002468A2">
        <w:rPr>
          <w:rFonts w:ascii="Arial" w:hAnsi="Arial" w:cs="Arial"/>
          <w:bCs/>
        </w:rPr>
        <w:t>Shelf-life of the veterinary medicinal product as packaged for sale:</w:t>
      </w:r>
      <w:r w:rsidRPr="002468A2">
        <w:rPr>
          <w:rFonts w:ascii="Arial" w:hAnsi="Arial" w:cs="Arial"/>
        </w:rPr>
        <w:t xml:space="preserve"> 3 years.</w:t>
      </w:r>
    </w:p>
    <w:p w:rsidR="005E4008" w:rsidRPr="002468A2" w:rsidP="002468A2">
      <w:pPr>
        <w:widowControl w:val="0"/>
        <w:ind w:left="567" w:hanging="567"/>
        <w:rPr>
          <w:rFonts w:ascii="Arial" w:hAnsi="Arial" w:cs="Arial"/>
        </w:rPr>
      </w:pPr>
    </w:p>
    <w:p w:rsidR="005E4008" w:rsidRPr="002468A2" w:rsidP="002468A2">
      <w:pPr>
        <w:widowControl w:val="0"/>
        <w:spacing w:line="360" w:lineRule="auto"/>
        <w:ind w:left="567" w:hanging="567"/>
        <w:rPr>
          <w:rFonts w:ascii="Arial" w:hAnsi="Arial" w:cs="Arial"/>
        </w:rPr>
      </w:pPr>
      <w:r w:rsidRPr="002468A2">
        <w:rPr>
          <w:rFonts w:ascii="Arial" w:hAnsi="Arial" w:cs="Arial"/>
          <w:b/>
        </w:rPr>
        <w:t>6.4.</w:t>
        <w:tab/>
        <w:t>Special precautions for storage</w:t>
      </w:r>
    </w:p>
    <w:p w:rsidR="005E4008" w:rsidRPr="002468A2" w:rsidP="001E2E53">
      <w:pPr>
        <w:spacing w:line="360" w:lineRule="auto"/>
        <w:ind w:left="567"/>
        <w:rPr>
          <w:rFonts w:ascii="Arial" w:hAnsi="Arial" w:cs="Arial"/>
        </w:rPr>
      </w:pPr>
      <w:r w:rsidRPr="002468A2">
        <w:rPr>
          <w:rFonts w:ascii="Arial" w:hAnsi="Arial" w:cs="Arial"/>
        </w:rPr>
        <w:t>HIGHLY FLAMMABLE – keep away from heat, sparks, open flame or other sources of ignition. Close container when not in use. Bottles should remain upright during storage. Protect from light.</w:t>
      </w:r>
    </w:p>
    <w:p w:rsidR="005E4008" w:rsidRPr="002468A2" w:rsidP="002468A2">
      <w:pPr>
        <w:widowControl w:val="0"/>
        <w:ind w:left="567" w:hanging="567"/>
        <w:rPr>
          <w:rFonts w:ascii="Arial" w:hAnsi="Arial" w:cs="Arial"/>
        </w:rPr>
      </w:pPr>
    </w:p>
    <w:p w:rsidR="005E4008" w:rsidRPr="002468A2" w:rsidP="002468A2">
      <w:pPr>
        <w:widowControl w:val="0"/>
        <w:tabs>
          <w:tab w:val="left" w:pos="567"/>
        </w:tabs>
        <w:spacing w:line="360" w:lineRule="auto"/>
        <w:ind w:left="567" w:hanging="567"/>
        <w:rPr>
          <w:rFonts w:ascii="Arial" w:hAnsi="Arial" w:cs="Arial"/>
        </w:rPr>
      </w:pPr>
      <w:r w:rsidRPr="002468A2">
        <w:rPr>
          <w:rFonts w:ascii="Arial" w:hAnsi="Arial" w:cs="Arial"/>
          <w:b/>
        </w:rPr>
        <w:t>6.5</w:t>
        <w:tab/>
        <w:t xml:space="preserve">Nature and </w:t>
      </w:r>
      <w:r w:rsidRPr="002468A2">
        <w:rPr>
          <w:rFonts w:ascii="Arial" w:hAnsi="Arial" w:cs="Arial"/>
          <w:b/>
          <w:bCs/>
        </w:rPr>
        <w:t>composition of immediate packaging</w:t>
      </w:r>
    </w:p>
    <w:p w:rsidR="005E4008" w:rsidRPr="002468A2" w:rsidP="001E2E53">
      <w:pPr>
        <w:spacing w:line="360" w:lineRule="auto"/>
        <w:ind w:left="567"/>
        <w:rPr>
          <w:rFonts w:ascii="Arial" w:hAnsi="Arial" w:cs="Arial"/>
        </w:rPr>
      </w:pPr>
      <w:r w:rsidRPr="002468A2">
        <w:rPr>
          <w:rFonts w:ascii="Arial" w:hAnsi="Arial" w:cs="Arial"/>
        </w:rPr>
        <w:t>High density polyethylene container (flat bottomed flexi packs) with a 38mm tamper evident closure (1L, 2.5L and 5L).</w:t>
      </w:r>
    </w:p>
    <w:p w:rsidR="005E4008" w:rsidRPr="002468A2" w:rsidP="001E2E53">
      <w:pPr>
        <w:spacing w:line="360" w:lineRule="auto"/>
        <w:ind w:left="567"/>
        <w:rPr>
          <w:rFonts w:ascii="Arial" w:hAnsi="Arial" w:cs="Arial"/>
        </w:rPr>
      </w:pPr>
      <w:r w:rsidRPr="002468A2">
        <w:rPr>
          <w:rFonts w:ascii="Arial" w:hAnsi="Arial" w:cs="Arial"/>
        </w:rPr>
        <w:t>The 1L pack will also have a dial a dose dosing cup.</w:t>
      </w:r>
    </w:p>
    <w:p w:rsidR="005E4008" w:rsidRPr="002468A2" w:rsidP="001E2E53">
      <w:pPr>
        <w:spacing w:line="360" w:lineRule="auto"/>
        <w:ind w:left="567"/>
        <w:rPr>
          <w:rFonts w:ascii="Arial" w:hAnsi="Arial" w:cs="Arial"/>
        </w:rPr>
      </w:pPr>
      <w:r w:rsidRPr="002468A2">
        <w:rPr>
          <w:rFonts w:ascii="Arial" w:hAnsi="Arial" w:cs="Arial"/>
        </w:rPr>
        <w:t>Pack sizes: 1L, 2.5L, 5L and 6L.</w:t>
      </w:r>
    </w:p>
    <w:p w:rsidR="005E4008" w:rsidRPr="002468A2" w:rsidP="001E2E53">
      <w:pPr>
        <w:spacing w:line="360" w:lineRule="auto"/>
        <w:ind w:left="567"/>
        <w:rPr>
          <w:rFonts w:ascii="Arial" w:hAnsi="Arial" w:cs="Arial"/>
        </w:rPr>
      </w:pPr>
      <w:r w:rsidRPr="002468A2">
        <w:rPr>
          <w:rFonts w:ascii="Arial" w:hAnsi="Arial" w:cs="Arial"/>
        </w:rPr>
        <w:t>The 6L consists of a 5L and 1L pack combined in one carton.</w:t>
      </w:r>
    </w:p>
    <w:p w:rsidR="005E4008" w:rsidRPr="002468A2" w:rsidP="001E2E53">
      <w:pPr>
        <w:spacing w:line="360" w:lineRule="auto"/>
        <w:ind w:left="567"/>
        <w:rPr>
          <w:rFonts w:ascii="Arial" w:hAnsi="Arial" w:cs="Arial"/>
        </w:rPr>
      </w:pPr>
      <w:r w:rsidRPr="002468A2">
        <w:rPr>
          <w:rFonts w:ascii="Arial" w:hAnsi="Arial" w:cs="Arial"/>
        </w:rPr>
        <w:t>Or</w:t>
      </w:r>
    </w:p>
    <w:p w:rsidR="005E4008" w:rsidRPr="002468A2" w:rsidP="001E2E53">
      <w:pPr>
        <w:spacing w:line="360" w:lineRule="auto"/>
        <w:ind w:left="567"/>
        <w:rPr>
          <w:rFonts w:ascii="Arial" w:hAnsi="Arial" w:cs="Arial"/>
          <w:bCs/>
        </w:rPr>
      </w:pPr>
      <w:r w:rsidRPr="002468A2">
        <w:rPr>
          <w:rFonts w:ascii="Arial" w:hAnsi="Arial" w:cs="Arial"/>
        </w:rPr>
        <w:t>High density polyethylene squeeze measure pour containers with child resistant closures. Pack sizes: 250ml, 500ml and 1L.</w:t>
      </w:r>
    </w:p>
    <w:p w:rsidR="005E4008" w:rsidRPr="002468A2" w:rsidP="002468A2">
      <w:pPr>
        <w:widowControl w:val="0"/>
        <w:tabs>
          <w:tab w:val="left" w:pos="0"/>
          <w:tab w:val="left" w:pos="1276"/>
        </w:tabs>
        <w:spacing w:line="360" w:lineRule="auto"/>
        <w:ind w:left="567" w:hanging="567"/>
        <w:rPr>
          <w:rFonts w:ascii="Arial" w:hAnsi="Arial" w:cs="Arial"/>
        </w:rPr>
      </w:pPr>
    </w:p>
    <w:p w:rsidR="005E4008" w:rsidP="002468A2">
      <w:pPr>
        <w:widowControl w:val="0"/>
        <w:tabs>
          <w:tab w:val="left" w:pos="0"/>
          <w:tab w:val="left" w:pos="1276"/>
        </w:tabs>
        <w:spacing w:line="360" w:lineRule="auto"/>
        <w:ind w:left="567" w:hanging="567"/>
        <w:rPr>
          <w:rFonts w:ascii="Arial" w:hAnsi="Arial" w:cs="Arial"/>
        </w:rPr>
      </w:pPr>
      <w:r w:rsidR="001E2E53">
        <w:rPr>
          <w:rFonts w:ascii="Arial" w:hAnsi="Arial" w:cs="Arial"/>
        </w:rPr>
        <w:tab/>
      </w:r>
      <w:r w:rsidRPr="002468A2">
        <w:rPr>
          <w:rFonts w:ascii="Arial" w:hAnsi="Arial" w:cs="Arial"/>
        </w:rPr>
        <w:t>Not all pack sizes may be marketed.</w:t>
      </w:r>
    </w:p>
    <w:p w:rsidR="001E2E53" w:rsidRPr="002468A2" w:rsidP="002468A2">
      <w:pPr>
        <w:widowControl w:val="0"/>
        <w:tabs>
          <w:tab w:val="left" w:pos="0"/>
          <w:tab w:val="left" w:pos="1276"/>
        </w:tabs>
        <w:spacing w:line="360" w:lineRule="auto"/>
        <w:ind w:left="567" w:hanging="567"/>
        <w:rPr>
          <w:rFonts w:ascii="Arial" w:hAnsi="Arial" w:cs="Arial"/>
        </w:rPr>
      </w:pPr>
    </w:p>
    <w:p w:rsidR="005E4008" w:rsidRPr="002468A2" w:rsidP="002468A2">
      <w:pPr>
        <w:widowControl w:val="0"/>
        <w:spacing w:line="360" w:lineRule="auto"/>
        <w:ind w:left="567" w:hanging="567"/>
        <w:rPr>
          <w:rFonts w:ascii="Arial" w:hAnsi="Arial" w:cs="Arial"/>
        </w:rPr>
      </w:pPr>
      <w:r w:rsidRPr="002468A2">
        <w:rPr>
          <w:rFonts w:ascii="Arial" w:hAnsi="Arial" w:cs="Arial"/>
          <w:b/>
        </w:rPr>
        <w:t>6.6</w:t>
      </w:r>
      <w:r w:rsidRPr="002468A2">
        <w:rPr>
          <w:rFonts w:ascii="Arial" w:hAnsi="Arial" w:cs="Arial"/>
        </w:rPr>
        <w:tab/>
      </w:r>
      <w:r w:rsidRPr="002468A2">
        <w:rPr>
          <w:rFonts w:ascii="Arial" w:hAnsi="Arial" w:cs="Arial"/>
          <w:b/>
        </w:rPr>
        <w:t>Special precautions for the disposal of unused veterinary medicinal product or waste materials derived from the use of such products</w:t>
      </w:r>
    </w:p>
    <w:p w:rsidR="005E4008" w:rsidRPr="002468A2" w:rsidP="001E2E53">
      <w:pPr>
        <w:spacing w:line="360" w:lineRule="auto"/>
        <w:ind w:left="567"/>
        <w:rPr>
          <w:rFonts w:ascii="Arial" w:hAnsi="Arial" w:cs="Arial"/>
        </w:rPr>
      </w:pPr>
      <w:r w:rsidRPr="002468A2">
        <w:rPr>
          <w:rFonts w:ascii="Arial" w:hAnsi="Arial" w:cs="Arial"/>
        </w:rPr>
        <w:t xml:space="preserve">EXTREMELY DANGEROUS FOR FISH AND AQUATIC ORGANISMS. Do not contaminate ponds, waterways or ditches with the product or empty container. </w:t>
      </w:r>
    </w:p>
    <w:p w:rsidR="005E4008" w:rsidRPr="002468A2" w:rsidP="002468A2">
      <w:pPr>
        <w:ind w:left="567" w:hanging="567"/>
        <w:rPr>
          <w:rFonts w:ascii="Arial" w:hAnsi="Arial" w:cs="Arial"/>
        </w:rPr>
      </w:pPr>
    </w:p>
    <w:p w:rsidR="001E2E53" w:rsidP="001E2E53">
      <w:pPr>
        <w:spacing w:line="360" w:lineRule="auto"/>
        <w:ind w:left="567"/>
        <w:rPr>
          <w:rFonts w:ascii="Arial" w:hAnsi="Arial" w:cs="Arial"/>
        </w:rPr>
      </w:pPr>
      <w:r w:rsidRPr="002468A2" w:rsidR="005E4008">
        <w:rPr>
          <w:rFonts w:ascii="Arial" w:hAnsi="Arial" w:cs="Arial"/>
        </w:rPr>
        <w:t>Any unused veterinary medicinal product or waste materials should be disposed of in accordanc</w:t>
      </w:r>
      <w:r>
        <w:rPr>
          <w:rFonts w:ascii="Arial" w:hAnsi="Arial" w:cs="Arial"/>
        </w:rPr>
        <w:t>e with local requirements.</w:t>
      </w:r>
    </w:p>
    <w:p w:rsidR="005E4008" w:rsidRPr="002468A2" w:rsidP="001E2E53">
      <w:pPr>
        <w:spacing w:line="360" w:lineRule="auto"/>
        <w:ind w:left="567" w:hanging="567"/>
        <w:rPr>
          <w:rFonts w:ascii="Arial" w:hAnsi="Arial" w:cs="Arial"/>
          <w:b/>
        </w:rPr>
      </w:pPr>
      <w:r w:rsidR="001E2E53">
        <w:rPr>
          <w:rFonts w:ascii="Arial" w:hAnsi="Arial" w:cs="Arial"/>
        </w:rPr>
        <w:br w:type="page"/>
      </w:r>
      <w:r w:rsidRPr="002468A2">
        <w:rPr>
          <w:rFonts w:ascii="Arial" w:hAnsi="Arial" w:cs="Arial"/>
          <w:b/>
        </w:rPr>
        <w:t>7.</w:t>
        <w:tab/>
        <w:t>MARKETING AUTHORISATION HOLDER</w:t>
      </w:r>
    </w:p>
    <w:p w:rsidR="005E4008" w:rsidRPr="002468A2" w:rsidP="001E2E53">
      <w:pPr>
        <w:suppressAutoHyphens/>
        <w:spacing w:line="360" w:lineRule="auto"/>
        <w:ind w:left="567"/>
        <w:rPr>
          <w:rFonts w:ascii="Arial" w:hAnsi="Arial" w:cs="Arial"/>
          <w:spacing w:val="-3"/>
        </w:rPr>
      </w:pPr>
      <w:r w:rsidRPr="002468A2">
        <w:rPr>
          <w:rFonts w:ascii="Arial" w:hAnsi="Arial" w:cs="Arial"/>
          <w:spacing w:val="-3"/>
        </w:rPr>
        <w:t>Chanelle Animal Health Ltd.</w:t>
      </w:r>
    </w:p>
    <w:p w:rsidR="001E2E53" w:rsidP="002468A2">
      <w:pPr>
        <w:suppressAutoHyphens/>
        <w:spacing w:line="360" w:lineRule="auto"/>
        <w:ind w:left="567" w:hanging="567"/>
        <w:rPr>
          <w:rFonts w:ascii="Arial" w:hAnsi="Arial" w:cs="Arial"/>
          <w:bCs/>
        </w:rPr>
      </w:pPr>
      <w:r w:rsidRPr="002468A2" w:rsidR="003F4BEE">
        <w:rPr>
          <w:rFonts w:ascii="Arial" w:hAnsi="Arial" w:cs="Arial"/>
          <w:spacing w:val="-3"/>
        </w:rPr>
        <w:tab/>
      </w:r>
      <w:r w:rsidRPr="002468A2" w:rsidR="005E4008">
        <w:rPr>
          <w:rFonts w:ascii="Arial" w:hAnsi="Arial" w:cs="Arial"/>
          <w:bCs/>
        </w:rPr>
        <w:t>7 Rodney Street</w:t>
      </w:r>
    </w:p>
    <w:p w:rsidR="001E2E53" w:rsidP="001E2E53">
      <w:pPr>
        <w:suppressAutoHyphens/>
        <w:spacing w:line="360" w:lineRule="auto"/>
        <w:ind w:left="567"/>
        <w:rPr>
          <w:rFonts w:ascii="Arial" w:hAnsi="Arial" w:cs="Arial"/>
          <w:bCs/>
        </w:rPr>
      </w:pPr>
      <w:r w:rsidRPr="002468A2" w:rsidR="005E4008">
        <w:rPr>
          <w:rFonts w:ascii="Arial" w:hAnsi="Arial" w:cs="Arial"/>
          <w:bCs/>
        </w:rPr>
        <w:t>Liverpool</w:t>
      </w:r>
    </w:p>
    <w:p w:rsidR="005E4008" w:rsidRPr="002468A2" w:rsidP="001E2E53">
      <w:pPr>
        <w:suppressAutoHyphens/>
        <w:spacing w:line="360" w:lineRule="auto"/>
        <w:ind w:left="567"/>
        <w:rPr>
          <w:rFonts w:ascii="Arial" w:hAnsi="Arial" w:cs="Arial"/>
          <w:spacing w:val="-3"/>
        </w:rPr>
      </w:pPr>
      <w:r w:rsidRPr="002468A2">
        <w:rPr>
          <w:rFonts w:ascii="Arial" w:hAnsi="Arial" w:cs="Arial"/>
          <w:bCs/>
        </w:rPr>
        <w:t>L1 9HZ</w:t>
      </w:r>
    </w:p>
    <w:p w:rsidR="005E4008" w:rsidRPr="002468A2" w:rsidP="002468A2">
      <w:pPr>
        <w:tabs>
          <w:tab w:val="left" w:pos="567"/>
        </w:tabs>
        <w:spacing w:line="360" w:lineRule="auto"/>
        <w:ind w:left="567" w:right="-318" w:hanging="567"/>
        <w:rPr>
          <w:rFonts w:ascii="Arial" w:hAnsi="Arial" w:cs="Arial"/>
          <w:spacing w:val="-3"/>
        </w:rPr>
      </w:pPr>
      <w:r w:rsidRPr="002468A2" w:rsidR="003F4BEE">
        <w:rPr>
          <w:rFonts w:ascii="Arial" w:hAnsi="Arial" w:cs="Arial"/>
          <w:spacing w:val="-3"/>
        </w:rPr>
        <w:tab/>
      </w:r>
      <w:r w:rsidRPr="002468A2">
        <w:rPr>
          <w:rFonts w:ascii="Arial" w:hAnsi="Arial" w:cs="Arial"/>
          <w:spacing w:val="-3"/>
        </w:rPr>
        <w:t>United Kingdom</w:t>
      </w:r>
    </w:p>
    <w:p w:rsidR="005E4008" w:rsidRPr="002468A2" w:rsidP="002468A2">
      <w:pPr>
        <w:spacing w:line="480" w:lineRule="auto"/>
        <w:ind w:left="567" w:right="-318" w:hanging="567"/>
        <w:rPr>
          <w:rFonts w:ascii="Arial" w:hAnsi="Arial" w:cs="Arial"/>
        </w:rPr>
      </w:pPr>
    </w:p>
    <w:p w:rsidR="005E4008" w:rsidRPr="002468A2" w:rsidP="002468A2">
      <w:pPr>
        <w:widowControl w:val="0"/>
        <w:tabs>
          <w:tab w:val="left" w:pos="567"/>
        </w:tabs>
        <w:spacing w:line="360" w:lineRule="auto"/>
        <w:ind w:left="567" w:hanging="567"/>
        <w:rPr>
          <w:rFonts w:ascii="Arial" w:hAnsi="Arial" w:cs="Arial"/>
          <w:b/>
        </w:rPr>
      </w:pPr>
      <w:r w:rsidRPr="002468A2">
        <w:rPr>
          <w:rFonts w:ascii="Arial" w:hAnsi="Arial" w:cs="Arial"/>
          <w:b/>
        </w:rPr>
        <w:t>8.</w:t>
        <w:tab/>
        <w:t>MARKETING AUTHORISATION NUMBER</w:t>
      </w:r>
    </w:p>
    <w:p w:rsidR="005E4008" w:rsidRPr="002468A2" w:rsidP="001E2E53">
      <w:pPr>
        <w:spacing w:line="360" w:lineRule="auto"/>
        <w:ind w:left="567" w:hanging="567"/>
        <w:rPr>
          <w:rFonts w:ascii="Arial" w:hAnsi="Arial" w:cs="Arial"/>
        </w:rPr>
      </w:pPr>
      <w:r w:rsidR="001E2E53">
        <w:rPr>
          <w:rFonts w:ascii="Arial" w:hAnsi="Arial" w:cs="Arial"/>
        </w:rPr>
        <w:tab/>
      </w:r>
      <w:r w:rsidRPr="002468A2">
        <w:rPr>
          <w:rFonts w:ascii="Arial" w:hAnsi="Arial" w:cs="Arial"/>
        </w:rPr>
        <w:t>Vm 11990/4038</w:t>
      </w:r>
    </w:p>
    <w:p w:rsidR="005E4008" w:rsidRPr="002468A2" w:rsidP="002468A2">
      <w:pPr>
        <w:tabs>
          <w:tab w:val="right" w:pos="90"/>
          <w:tab w:val="left" w:pos="540"/>
        </w:tabs>
        <w:spacing w:line="360" w:lineRule="auto"/>
        <w:ind w:left="567" w:hanging="567"/>
        <w:rPr>
          <w:rFonts w:ascii="Arial" w:hAnsi="Arial" w:cs="Arial"/>
        </w:rPr>
      </w:pPr>
    </w:p>
    <w:p w:rsidR="005E4008" w:rsidRPr="002468A2" w:rsidP="002468A2">
      <w:pPr>
        <w:widowControl w:val="0"/>
        <w:tabs>
          <w:tab w:val="left" w:pos="567"/>
        </w:tabs>
        <w:spacing w:line="360" w:lineRule="auto"/>
        <w:ind w:left="567" w:hanging="567"/>
        <w:rPr>
          <w:rFonts w:ascii="Arial" w:hAnsi="Arial" w:cs="Arial"/>
          <w:b/>
        </w:rPr>
      </w:pPr>
      <w:r w:rsidRPr="002468A2">
        <w:rPr>
          <w:rFonts w:ascii="Arial" w:hAnsi="Arial" w:cs="Arial"/>
          <w:b/>
        </w:rPr>
        <w:t>9.</w:t>
        <w:tab/>
        <w:t>DATE OF RENEWAL OF THE AUTHORISATION</w:t>
      </w:r>
    </w:p>
    <w:p w:rsidR="005E4008" w:rsidRPr="002468A2" w:rsidP="001E2E53">
      <w:pPr>
        <w:spacing w:line="360" w:lineRule="auto"/>
        <w:ind w:left="567"/>
        <w:rPr>
          <w:rFonts w:ascii="Arial" w:hAnsi="Arial" w:cs="Arial"/>
        </w:rPr>
      </w:pPr>
      <w:r w:rsidRPr="002468A2" w:rsidR="003F4BEE">
        <w:rPr>
          <w:rFonts w:ascii="Arial" w:hAnsi="Arial" w:cs="Arial"/>
        </w:rPr>
        <w:t>20 September 2010</w:t>
      </w:r>
    </w:p>
    <w:p w:rsidR="003F4BEE" w:rsidRPr="002468A2" w:rsidP="002468A2">
      <w:pPr>
        <w:spacing w:line="360" w:lineRule="auto"/>
        <w:ind w:left="567" w:hanging="567"/>
        <w:rPr>
          <w:rFonts w:ascii="Arial" w:hAnsi="Arial" w:cs="Arial"/>
        </w:rPr>
      </w:pPr>
    </w:p>
    <w:p w:rsidR="005E4008" w:rsidRPr="002468A2" w:rsidP="002468A2">
      <w:pPr>
        <w:widowControl w:val="0"/>
        <w:tabs>
          <w:tab w:val="left" w:pos="567"/>
        </w:tabs>
        <w:spacing w:line="360" w:lineRule="auto"/>
        <w:ind w:left="567" w:hanging="567"/>
        <w:rPr>
          <w:rFonts w:ascii="Arial" w:hAnsi="Arial" w:cs="Arial"/>
          <w:b/>
        </w:rPr>
      </w:pPr>
      <w:r w:rsidRPr="002468A2">
        <w:rPr>
          <w:rFonts w:ascii="Arial" w:hAnsi="Arial" w:cs="Arial"/>
          <w:b/>
        </w:rPr>
        <w:t>10.</w:t>
        <w:tab/>
        <w:t>DATE OF REVISION OF THE TEXT</w:t>
      </w:r>
    </w:p>
    <w:p w:rsidR="001968F8" w:rsidRPr="002468A2" w:rsidP="001E2E53">
      <w:pPr>
        <w:widowControl w:val="0"/>
        <w:tabs>
          <w:tab w:val="left" w:pos="567"/>
        </w:tabs>
        <w:spacing w:line="360" w:lineRule="auto"/>
        <w:ind w:left="567" w:hanging="567"/>
        <w:rPr>
          <w:rFonts w:ascii="Arial" w:hAnsi="Arial" w:cs="Arial"/>
        </w:rPr>
      </w:pPr>
      <w:r w:rsidRPr="002468A2" w:rsidR="005E4008">
        <w:rPr>
          <w:rFonts w:ascii="Arial" w:hAnsi="Arial" w:cs="Arial"/>
        </w:rPr>
        <w:tab/>
      </w:r>
      <w:r w:rsidRPr="002468A2" w:rsidR="003F4BEE">
        <w:rPr>
          <w:rFonts w:ascii="Arial" w:hAnsi="Arial" w:cs="Arial"/>
        </w:rPr>
        <w:t>March 2011</w:t>
      </w:r>
    </w:p>
    <w:sectPr w:rsidSect="002468A2">
      <w:headerReference w:type="default" r:id="rId4"/>
      <w:footerReference w:type="default" r:id="rId5"/>
      <w:pgSz w:w="11907" w:h="16840" w:code="9"/>
      <w:pgMar w:top="1134" w:right="1134" w:bottom="1134" w:left="1134" w:header="567" w:footer="567" w:gutter="0"/>
      <w:lnNumType w:distance="32769"/>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F8" w:rsidRPr="002468A2" w:rsidP="002468A2">
    <w:pPr>
      <w:pStyle w:val="Footer"/>
      <w:jc w:val="center"/>
      <w:rPr>
        <w:rFonts w:ascii="Arial" w:hAnsi="Arial" w:cs="Arial"/>
        <w:sz w:val="20"/>
      </w:rPr>
    </w:pPr>
    <w:r w:rsidRPr="002468A2" w:rsidR="003F4BEE">
      <w:rPr>
        <w:rFonts w:ascii="Arial" w:hAnsi="Arial" w:cs="Arial"/>
        <w:sz w:val="20"/>
      </w:rPr>
      <w:t xml:space="preserve">Page </w:t>
    </w:r>
    <w:r w:rsidRPr="002468A2" w:rsidR="003F4BEE">
      <w:rPr>
        <w:rFonts w:ascii="Arial" w:hAnsi="Arial" w:cs="Arial"/>
        <w:sz w:val="20"/>
      </w:rPr>
      <w:fldChar w:fldCharType="begin"/>
    </w:r>
    <w:r w:rsidRPr="002468A2" w:rsidR="003F4BEE">
      <w:rPr>
        <w:rFonts w:ascii="Arial" w:hAnsi="Arial" w:cs="Arial"/>
        <w:sz w:val="20"/>
      </w:rPr>
      <w:instrText xml:space="preserve"> PAGE </w:instrText>
    </w:r>
    <w:r w:rsidRPr="002468A2" w:rsidR="003F4BEE">
      <w:rPr>
        <w:rFonts w:ascii="Arial" w:hAnsi="Arial" w:cs="Arial"/>
        <w:sz w:val="20"/>
      </w:rPr>
      <w:fldChar w:fldCharType="separate"/>
    </w:r>
    <w:r w:rsidR="001E2E53">
      <w:rPr>
        <w:rFonts w:ascii="Arial" w:hAnsi="Arial" w:cs="Arial"/>
        <w:noProof/>
        <w:sz w:val="20"/>
      </w:rPr>
      <w:t>1</w:t>
    </w:r>
    <w:r w:rsidRPr="002468A2" w:rsidR="003F4BEE">
      <w:rPr>
        <w:rFonts w:ascii="Arial" w:hAnsi="Arial" w:cs="Arial"/>
        <w:sz w:val="20"/>
      </w:rPr>
      <w:fldChar w:fldCharType="end"/>
    </w:r>
    <w:r w:rsidRPr="002468A2" w:rsidR="003F4BEE">
      <w:rPr>
        <w:rFonts w:ascii="Arial" w:hAnsi="Arial" w:cs="Arial"/>
        <w:sz w:val="20"/>
      </w:rPr>
      <w:t xml:space="preserve"> of </w:t>
    </w:r>
    <w:r w:rsidRPr="002468A2" w:rsidR="003F4BEE">
      <w:rPr>
        <w:rFonts w:ascii="Arial" w:hAnsi="Arial" w:cs="Arial"/>
        <w:sz w:val="20"/>
      </w:rPr>
      <w:fldChar w:fldCharType="begin"/>
    </w:r>
    <w:r w:rsidRPr="002468A2" w:rsidR="003F4BEE">
      <w:rPr>
        <w:rFonts w:ascii="Arial" w:hAnsi="Arial" w:cs="Arial"/>
        <w:sz w:val="20"/>
      </w:rPr>
      <w:instrText xml:space="preserve"> NUMPAGES  </w:instrText>
    </w:r>
    <w:r w:rsidRPr="002468A2" w:rsidR="003F4BEE">
      <w:rPr>
        <w:rFonts w:ascii="Arial" w:hAnsi="Arial" w:cs="Arial"/>
        <w:sz w:val="20"/>
      </w:rPr>
      <w:fldChar w:fldCharType="separate"/>
    </w:r>
    <w:r w:rsidR="001E2E53">
      <w:rPr>
        <w:rFonts w:ascii="Arial" w:hAnsi="Arial" w:cs="Arial"/>
        <w:noProof/>
        <w:sz w:val="20"/>
      </w:rPr>
      <w:t>8</w:t>
    </w:r>
    <w:r w:rsidRPr="002468A2" w:rsidR="003F4BEE">
      <w:rPr>
        <w:rFonts w:ascii="Arial" w:hAnsi="Arial" w:cs="Arial"/>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8F8" w:rsidRPr="002468A2" w:rsidP="002468A2">
    <w:pPr>
      <w:pStyle w:val="Header"/>
      <w:spacing w:line="360" w:lineRule="atLeast"/>
      <w:jc w:val="right"/>
      <w:rPr>
        <w:rFonts w:ascii="Arial" w:hAnsi="Arial" w:cs="Arial"/>
        <w:sz w:val="20"/>
      </w:rPr>
    </w:pPr>
    <w:r w:rsidRPr="002468A2" w:rsidR="003F4BEE">
      <w:rPr>
        <w:rFonts w:ascii="Arial" w:hAnsi="Arial" w:cs="Arial"/>
        <w:sz w:val="20"/>
      </w:rPr>
      <w:t>Revised: March 2011</w:t>
    </w:r>
  </w:p>
  <w:p w:rsidR="003F4BEE" w:rsidRPr="002468A2" w:rsidP="002468A2">
    <w:pPr>
      <w:pStyle w:val="Header"/>
      <w:spacing w:line="360" w:lineRule="atLeast"/>
      <w:jc w:val="right"/>
      <w:rPr>
        <w:rFonts w:ascii="Arial" w:hAnsi="Arial" w:cs="Arial"/>
        <w:sz w:val="20"/>
      </w:rPr>
    </w:pPr>
    <w:r w:rsidRPr="002468A2">
      <w:rPr>
        <w:rFonts w:ascii="Arial" w:hAnsi="Arial" w:cs="Arial"/>
        <w:sz w:val="20"/>
      </w:rPr>
      <w:t>AN</w:t>
    </w:r>
    <w:r w:rsidRPr="002468A2" w:rsidR="002468A2">
      <w:rPr>
        <w:rFonts w:ascii="Arial" w:hAnsi="Arial" w:cs="Arial"/>
        <w:sz w:val="20"/>
      </w:rPr>
      <w:t>:</w:t>
    </w:r>
    <w:r w:rsidRPr="002468A2">
      <w:rPr>
        <w:rFonts w:ascii="Arial" w:hAnsi="Arial" w:cs="Arial"/>
        <w:sz w:val="20"/>
      </w:rPr>
      <w:t xml:space="preserve"> 02018/2009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5366"/>
    <w:multiLevelType w:val="hybridMultilevel"/>
    <w:tmpl w:val="2836FF1C"/>
    <w:lvl w:ilvl="0">
      <w:start w:val="3"/>
      <w:numFmt w:val="bullet"/>
      <w:lvlText w:val="-"/>
      <w:lvlJc w:val="left"/>
      <w:pPr>
        <w:tabs>
          <w:tab w:val="num" w:pos="927"/>
        </w:tabs>
        <w:ind w:left="927" w:hanging="360"/>
      </w:pPr>
      <w:rPr>
        <w:rFonts w:ascii="Arial" w:eastAsia="Times New Roman" w:hAnsi="Arial" w:cs="Arial" w:hint="default"/>
      </w:rPr>
    </w:lvl>
    <w:lvl w:ilvl="1" w:tentative="1">
      <w:start w:val="1"/>
      <w:numFmt w:val="bullet"/>
      <w:lvlText w:val="o"/>
      <w:lvlJc w:val="left"/>
      <w:pPr>
        <w:tabs>
          <w:tab w:val="num" w:pos="1647"/>
        </w:tabs>
        <w:ind w:left="1647" w:hanging="360"/>
      </w:pPr>
      <w:rPr>
        <w:rFonts w:ascii="Courier New" w:hAnsi="Courier New" w:cs="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cs="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cs="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
    <w:nsid w:val="402F7974"/>
    <w:multiLevelType w:val="hybridMultilevel"/>
    <w:tmpl w:val="317A6C32"/>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44E3036C"/>
    <w:multiLevelType w:val="multilevel"/>
    <w:tmpl w:val="CE947BE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008"/>
    <w:rsid w:val="001968F8"/>
    <w:rsid w:val="001E2E53"/>
    <w:rsid w:val="002468A2"/>
    <w:rsid w:val="003F4BEE"/>
    <w:rsid w:val="005E4008"/>
    <w:rsid w:val="00A96AEC"/>
    <w:rsid w:val="00B17239"/>
    <w:rsid w:val="00DB253B"/>
    <w:rsid w:val="00FE2C3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spacing w:line="360" w:lineRule="atLeast"/>
      <w:ind w:left="720"/>
      <w:jc w:val="both"/>
      <w:outlineLvl w:val="0"/>
    </w:pPr>
    <w:rPr>
      <w:rFonts w:ascii="Times" w:hAnsi="Times"/>
      <w:i/>
      <w:szCs w:val="20"/>
    </w:rPr>
  </w:style>
  <w:style w:type="paragraph" w:styleId="Heading2">
    <w:name w:val="heading 2"/>
    <w:basedOn w:val="Normal"/>
    <w:next w:val="Normal"/>
    <w:qFormat/>
    <w:pPr>
      <w:keepNext/>
      <w:tabs>
        <w:tab w:val="left" w:pos="720"/>
      </w:tabs>
      <w:spacing w:line="360" w:lineRule="atLeast"/>
      <w:ind w:left="4500" w:hanging="4500"/>
      <w:jc w:val="both"/>
      <w:outlineLvl w:val="1"/>
    </w:pPr>
    <w:rPr>
      <w:rFonts w:ascii="Helvetica" w:hAnsi="Helvetica"/>
      <w:b/>
      <w:sz w:val="20"/>
    </w:rPr>
  </w:style>
  <w:style w:type="paragraph" w:styleId="Heading3">
    <w:name w:val="heading 3"/>
    <w:basedOn w:val="Normal"/>
    <w:next w:val="Normal"/>
    <w:qFormat/>
    <w:pPr>
      <w:keepNext/>
      <w:spacing w:line="360" w:lineRule="auto"/>
      <w:ind w:left="1440"/>
      <w:jc w:val="both"/>
      <w:outlineLvl w:val="2"/>
    </w:pPr>
    <w:rPr>
      <w:rFonts w:ascii="Helvetica" w:hAnsi="Helvetica" w:cs="Helvetica"/>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tabs>
        <w:tab w:val="left" w:pos="720"/>
      </w:tabs>
      <w:spacing w:line="360" w:lineRule="atLeast"/>
      <w:ind w:left="720"/>
      <w:jc w:val="both"/>
    </w:pPr>
    <w:rPr>
      <w:rFonts w:ascii="Times" w:hAnsi="Times"/>
      <w:szCs w:val="20"/>
    </w:rPr>
  </w:style>
  <w:style w:type="paragraph" w:styleId="BodyText2">
    <w:name w:val="Body Text 2"/>
    <w:basedOn w:val="Normal"/>
    <w:semiHidden/>
    <w:pPr>
      <w:tabs>
        <w:tab w:val="left" w:pos="720"/>
        <w:tab w:val="left" w:pos="1080"/>
        <w:tab w:val="left" w:pos="1440"/>
      </w:tabs>
      <w:spacing w:line="360" w:lineRule="atLeast"/>
      <w:ind w:left="1440"/>
      <w:jc w:val="both"/>
    </w:pPr>
    <w:rPr>
      <w:rFonts w:ascii="Times" w:hAnsi="Times"/>
      <w:szCs w:val="20"/>
    </w:rPr>
  </w:style>
  <w:style w:type="paragraph" w:styleId="Header">
    <w:name w:val="header"/>
    <w:basedOn w:val="Normal"/>
    <w:semiHidden/>
    <w:pPr>
      <w:tabs>
        <w:tab w:val="center" w:pos="4252"/>
        <w:tab w:val="right" w:pos="8504"/>
      </w:tabs>
    </w:pPr>
    <w:rPr>
      <w:rFonts w:ascii="Times" w:hAnsi="Times"/>
      <w:szCs w:val="20"/>
    </w:rPr>
  </w:style>
  <w:style w:type="paragraph" w:styleId="Footer">
    <w:name w:val="footer"/>
    <w:basedOn w:val="Normal"/>
    <w:link w:val="FooterChar"/>
    <w:uiPriority w:val="99"/>
    <w:pPr>
      <w:tabs>
        <w:tab w:val="center" w:pos="4252"/>
        <w:tab w:val="right" w:pos="8504"/>
      </w:tabs>
    </w:pPr>
    <w:rPr>
      <w:rFonts w:ascii="Times" w:hAnsi="Times"/>
      <w:szCs w:val="20"/>
    </w:rPr>
  </w:style>
  <w:style w:type="paragraph" w:styleId="BodyTextIndent">
    <w:name w:val="Body Text Indent"/>
    <w:basedOn w:val="Normal"/>
    <w:semiHidden/>
    <w:pPr>
      <w:tabs>
        <w:tab w:val="left" w:pos="720"/>
      </w:tabs>
      <w:spacing w:line="360" w:lineRule="atLeast"/>
      <w:ind w:left="720"/>
      <w:jc w:val="both"/>
    </w:pPr>
    <w:rPr>
      <w:rFonts w:ascii="Helvetica" w:hAnsi="Helvetica"/>
      <w:sz w:val="20"/>
    </w:rPr>
  </w:style>
  <w:style w:type="paragraph" w:styleId="BodyTextIndent3">
    <w:name w:val="Body Text Indent 3"/>
    <w:basedOn w:val="Normal"/>
    <w:semiHidden/>
    <w:pPr>
      <w:tabs>
        <w:tab w:val="left" w:pos="5400"/>
      </w:tabs>
      <w:spacing w:line="360" w:lineRule="atLeast"/>
      <w:ind w:left="1440"/>
    </w:pPr>
    <w:rPr>
      <w:rFonts w:ascii="Helvetica" w:hAnsi="Helvetica"/>
      <w:sz w:val="20"/>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3F4BEE"/>
    <w:rPr>
      <w:rFonts w:ascii="Times" w:hAnsi="Times"/>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