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58E" w:rsidP="00B54868" w:rsidRDefault="003F4FED" w14:paraId="0E215A29" w14:textId="7B0DD4EB">
      <w:pPr>
        <w:jc w:val="center"/>
        <w:rPr>
          <w:rFonts w:ascii="Calibri" w:hAnsi="Calibri" w:cs="Calibri"/>
          <w:b/>
          <w:bCs/>
          <w:color w:val="0A1021"/>
          <w:sz w:val="32"/>
          <w:szCs w:val="32"/>
          <w:shd w:val="clear" w:color="auto" w:fill="FFFFFF"/>
          <w:lang w:val="en-US"/>
        </w:rPr>
      </w:pPr>
      <w:r w:rsidRPr="00993043">
        <w:rPr>
          <w:rFonts w:ascii="Calibri" w:hAnsi="Calibri" w:cs="Calibri"/>
          <w:b/>
          <w:bCs/>
          <w:color w:val="0A1021"/>
          <w:sz w:val="32"/>
          <w:szCs w:val="32"/>
          <w:shd w:val="clear" w:color="auto" w:fill="FFFFFF"/>
          <w:lang w:val="en-US"/>
        </w:rPr>
        <w:t>Data for Health Global Grants Program Launches New Round of Funding</w:t>
      </w:r>
    </w:p>
    <w:p w:rsidRPr="00E4707C" w:rsidR="0055754B" w:rsidP="00E8158E" w:rsidRDefault="0055754B" w14:paraId="23A66FA0" w14:textId="488AC832">
      <w:pPr>
        <w:jc w:val="center"/>
        <w:rPr>
          <w:rFonts w:ascii="Calibri" w:hAnsi="Calibri" w:cs="Calibri"/>
          <w:b/>
          <w:bCs/>
          <w:color w:val="0A1021"/>
          <w:sz w:val="28"/>
          <w:szCs w:val="28"/>
          <w:shd w:val="clear" w:color="auto" w:fill="FFFFFF"/>
          <w:lang w:val="en-US"/>
        </w:rPr>
      </w:pPr>
      <w:r w:rsidRPr="00E4707C">
        <w:rPr>
          <w:rFonts w:ascii="Calibri" w:hAnsi="Calibri" w:cs="Calibri"/>
          <w:b/>
          <w:bCs/>
          <w:color w:val="0A1021"/>
          <w:sz w:val="28"/>
          <w:szCs w:val="28"/>
          <w:shd w:val="clear" w:color="auto" w:fill="FFFFFF"/>
          <w:lang w:val="en-US"/>
        </w:rPr>
        <w:t>Civil registration and vital statistics and data use for decision-making are core thematic areas</w:t>
      </w:r>
    </w:p>
    <w:p w:rsidRPr="00E4707C" w:rsidR="00E8158E" w:rsidP="005E6DFA" w:rsidRDefault="0055754B" w14:paraId="4B9673F5" w14:textId="25C81ABA">
      <w:pPr>
        <w:ind w:firstLine="708"/>
        <w:jc w:val="center"/>
        <w:rPr>
          <w:rFonts w:ascii="Calibri" w:hAnsi="Calibri" w:cs="Calibri"/>
          <w:b/>
          <w:bCs/>
          <w:color w:val="0A1021"/>
          <w:sz w:val="28"/>
          <w:szCs w:val="28"/>
          <w:shd w:val="clear" w:color="auto" w:fill="FFFFFF"/>
          <w:lang w:val="en-US"/>
        </w:rPr>
      </w:pPr>
      <w:r w:rsidRPr="00E4707C">
        <w:rPr>
          <w:rFonts w:ascii="Calibri" w:hAnsi="Calibri" w:cs="Calibri"/>
          <w:b/>
          <w:bCs/>
          <w:color w:val="0A1021"/>
          <w:sz w:val="28"/>
          <w:szCs w:val="28"/>
          <w:shd w:val="clear" w:color="auto" w:fill="FFFFFF"/>
          <w:lang w:val="en-US"/>
        </w:rPr>
        <w:t>Use of data to promote health e</w:t>
      </w:r>
      <w:r w:rsidRPr="00E4707C" w:rsidR="00A80EBC">
        <w:rPr>
          <w:rFonts w:ascii="Calibri" w:hAnsi="Calibri" w:cs="Calibri"/>
          <w:b/>
          <w:bCs/>
          <w:color w:val="0A1021"/>
          <w:sz w:val="28"/>
          <w:szCs w:val="28"/>
          <w:shd w:val="clear" w:color="auto" w:fill="FFFFFF"/>
          <w:lang w:val="en-US"/>
        </w:rPr>
        <w:t xml:space="preserve">quity </w:t>
      </w:r>
      <w:r w:rsidRPr="00E4707C" w:rsidR="00C46595">
        <w:rPr>
          <w:rFonts w:ascii="Calibri" w:hAnsi="Calibri" w:cs="Calibri"/>
          <w:b/>
          <w:bCs/>
          <w:color w:val="0A1021"/>
          <w:sz w:val="28"/>
          <w:szCs w:val="28"/>
          <w:shd w:val="clear" w:color="auto" w:fill="FFFFFF"/>
          <w:lang w:val="en-US"/>
        </w:rPr>
        <w:t xml:space="preserve">and </w:t>
      </w:r>
      <w:r w:rsidRPr="00E4707C">
        <w:rPr>
          <w:rFonts w:ascii="Calibri" w:hAnsi="Calibri" w:cs="Calibri"/>
          <w:b/>
          <w:bCs/>
          <w:color w:val="0A1021"/>
          <w:sz w:val="28"/>
          <w:szCs w:val="28"/>
          <w:shd w:val="clear" w:color="auto" w:fill="FFFFFF"/>
          <w:lang w:val="en-US"/>
        </w:rPr>
        <w:t xml:space="preserve">data for </w:t>
      </w:r>
      <w:r w:rsidRPr="00E4707C" w:rsidR="00C46595">
        <w:rPr>
          <w:rFonts w:ascii="Calibri" w:hAnsi="Calibri" w:cs="Calibri"/>
          <w:b/>
          <w:bCs/>
          <w:color w:val="0A1021"/>
          <w:sz w:val="28"/>
          <w:szCs w:val="28"/>
          <w:shd w:val="clear" w:color="auto" w:fill="FFFFFF"/>
          <w:lang w:val="en-US"/>
        </w:rPr>
        <w:t>COVID-19</w:t>
      </w:r>
      <w:r w:rsidRPr="00E4707C">
        <w:rPr>
          <w:rFonts w:ascii="Calibri" w:hAnsi="Calibri" w:cs="Calibri"/>
          <w:b/>
          <w:bCs/>
          <w:color w:val="0A1021"/>
          <w:sz w:val="28"/>
          <w:szCs w:val="28"/>
          <w:shd w:val="clear" w:color="auto" w:fill="FFFFFF"/>
          <w:lang w:val="en-US"/>
        </w:rPr>
        <w:t xml:space="preserve"> response</w:t>
      </w:r>
      <w:r w:rsidRPr="00E4707C" w:rsidR="00C46595">
        <w:rPr>
          <w:rFonts w:ascii="Calibri" w:hAnsi="Calibri" w:cs="Calibri"/>
          <w:b/>
          <w:bCs/>
          <w:color w:val="0A1021"/>
          <w:sz w:val="28"/>
          <w:szCs w:val="28"/>
          <w:shd w:val="clear" w:color="auto" w:fill="FFFFFF"/>
          <w:lang w:val="en-US"/>
        </w:rPr>
        <w:t xml:space="preserve"> </w:t>
      </w:r>
      <w:r w:rsidRPr="00E4707C" w:rsidR="005C5FBA">
        <w:rPr>
          <w:rFonts w:ascii="Calibri" w:hAnsi="Calibri" w:cs="Calibri"/>
          <w:b/>
          <w:bCs/>
          <w:color w:val="0A1021"/>
          <w:sz w:val="28"/>
          <w:szCs w:val="28"/>
          <w:shd w:val="clear" w:color="auto" w:fill="FFFFFF"/>
          <w:lang w:val="en-US"/>
        </w:rPr>
        <w:t>are additional priority themes</w:t>
      </w:r>
    </w:p>
    <w:p w:rsidRPr="0056268A" w:rsidR="00544C61" w:rsidP="00544C61" w:rsidRDefault="00544C61" w14:paraId="223D8295" w14:textId="77777777">
      <w:pPr>
        <w:spacing w:after="0" w:line="360" w:lineRule="auto"/>
        <w:jc w:val="both"/>
        <w:rPr>
          <w:rFonts w:ascii="Arial" w:hAnsi="Arial" w:eastAsia="Calibri" w:cs="Arial"/>
          <w:color w:val="000000"/>
          <w:lang w:val="en-US"/>
        </w:rPr>
      </w:pPr>
    </w:p>
    <w:p w:rsidRPr="005C5FBA" w:rsidR="003F4FED" w:rsidP="005C5FBA" w:rsidRDefault="63E8FC8A" w14:paraId="04468B27" w14:textId="08B61143">
      <w:pPr>
        <w:jc w:val="center"/>
        <w:rPr>
          <w:rFonts w:ascii="Calibri" w:hAnsi="Calibri" w:cs="Calibri"/>
          <w:i/>
          <w:iCs/>
          <w:color w:val="000000" w:themeColor="text1"/>
          <w:sz w:val="28"/>
          <w:szCs w:val="28"/>
          <w:lang w:val="en-US"/>
        </w:rPr>
      </w:pPr>
      <w:r w:rsidRPr="63E8FC8A">
        <w:rPr>
          <w:rFonts w:ascii="Calibri" w:hAnsi="Calibri" w:cs="Calibri"/>
          <w:i/>
          <w:iCs/>
          <w:color w:val="000000" w:themeColor="text1"/>
          <w:sz w:val="28"/>
          <w:szCs w:val="28"/>
          <w:lang w:val="en-US"/>
        </w:rPr>
        <w:t xml:space="preserve">Grants up to $150,000 available for projects that strengthen the </w:t>
      </w:r>
      <w:r w:rsidR="0055754B">
        <w:rPr>
          <w:rFonts w:ascii="Calibri" w:hAnsi="Calibri" w:cs="Calibri"/>
          <w:i/>
          <w:iCs/>
          <w:color w:val="000000" w:themeColor="text1"/>
          <w:sz w:val="28"/>
          <w:szCs w:val="28"/>
          <w:lang w:val="en-US"/>
        </w:rPr>
        <w:t xml:space="preserve">collection and </w:t>
      </w:r>
      <w:r w:rsidRPr="63E8FC8A">
        <w:rPr>
          <w:rFonts w:ascii="Calibri" w:hAnsi="Calibri" w:cs="Calibri"/>
          <w:i/>
          <w:iCs/>
          <w:color w:val="000000" w:themeColor="text1"/>
          <w:sz w:val="28"/>
          <w:szCs w:val="28"/>
          <w:lang w:val="en-US"/>
        </w:rPr>
        <w:t>use of high-quality data for public health decision-making</w:t>
      </w:r>
    </w:p>
    <w:p w:rsidRPr="008109C3" w:rsidR="00544C61" w:rsidP="00A0209D" w:rsidRDefault="63E8FC8A" w14:paraId="4F11FDF7" w14:textId="50B1E7BA">
      <w:pPr>
        <w:rPr>
          <w:rFonts w:ascii="Times New Roman" w:hAnsi="Times New Roman" w:eastAsia="Times New Roman" w:cs="Times New Roman"/>
          <w:sz w:val="24"/>
          <w:szCs w:val="24"/>
          <w:lang w:val="en-US"/>
        </w:rPr>
      </w:pPr>
      <w:r w:rsidRPr="63E8FC8A">
        <w:rPr>
          <w:rFonts w:ascii="Calibri" w:hAnsi="Calibri" w:cs="Calibri"/>
          <w:color w:val="000000" w:themeColor="text1"/>
          <w:lang w:val="en-US"/>
        </w:rPr>
        <w:t>The</w:t>
      </w:r>
      <w:r w:rsidR="00E4707C">
        <w:rPr>
          <w:rFonts w:ascii="Calibri" w:hAnsi="Calibri" w:cs="Calibri"/>
          <w:color w:val="000000" w:themeColor="text1"/>
          <w:lang w:val="en-US"/>
        </w:rPr>
        <w:t xml:space="preserve"> Bloomberg Philanthropies Data for Health Initiative’s</w:t>
      </w:r>
      <w:r w:rsidRPr="63E8FC8A">
        <w:rPr>
          <w:rFonts w:ascii="Calibri" w:hAnsi="Calibri" w:cs="Calibri"/>
          <w:color w:val="000000" w:themeColor="text1"/>
          <w:lang w:val="en-US"/>
        </w:rPr>
        <w:t xml:space="preserve"> </w:t>
      </w:r>
      <w:hyperlink r:id="rId7">
        <w:r w:rsidRPr="63E8FC8A">
          <w:rPr>
            <w:rStyle w:val="Hyperlink"/>
            <w:rFonts w:ascii="Calibri" w:hAnsi="Calibri" w:cs="Calibri"/>
            <w:lang w:val="en-US"/>
          </w:rPr>
          <w:t>Global Grants Program</w:t>
        </w:r>
      </w:hyperlink>
      <w:r w:rsidRPr="63E8FC8A">
        <w:rPr>
          <w:rFonts w:ascii="Calibri" w:hAnsi="Calibri" w:cs="Calibri"/>
          <w:color w:val="000000" w:themeColor="text1"/>
          <w:lang w:val="en-US"/>
        </w:rPr>
        <w:t xml:space="preserve"> (GGP) is launching a new round of funding for projects that strengthen the </w:t>
      </w:r>
      <w:r w:rsidR="0055754B">
        <w:rPr>
          <w:rFonts w:ascii="Calibri" w:hAnsi="Calibri" w:cs="Calibri"/>
          <w:color w:val="000000" w:themeColor="text1"/>
          <w:lang w:val="en-US"/>
        </w:rPr>
        <w:t xml:space="preserve">collection, </w:t>
      </w:r>
      <w:r w:rsidRPr="63E8FC8A">
        <w:rPr>
          <w:rFonts w:ascii="Calibri" w:hAnsi="Calibri" w:cs="Calibri"/>
          <w:color w:val="000000" w:themeColor="text1"/>
          <w:lang w:val="en-US"/>
        </w:rPr>
        <w:t xml:space="preserve">analysis and use of high-quality data for public health policymaking. </w:t>
      </w:r>
      <w:r w:rsidRPr="008109C3" w:rsidR="008109C3">
        <w:rPr>
          <w:rFonts w:ascii="Calibri" w:hAnsi="Calibri" w:eastAsia="Times New Roman" w:cs="Calibri"/>
          <w:color w:val="000000"/>
          <w:lang w:val="en-US"/>
        </w:rPr>
        <w:t>Within the broad focus areas listed below, we acknowledge the expertise and priorities of country representatives and welcome</w:t>
      </w:r>
      <w:r w:rsidR="008109C3">
        <w:rPr>
          <w:rFonts w:ascii="Times New Roman" w:hAnsi="Times New Roman" w:eastAsia="Times New Roman" w:cs="Times New Roman"/>
          <w:sz w:val="24"/>
          <w:szCs w:val="24"/>
          <w:lang w:val="en-US"/>
        </w:rPr>
        <w:t xml:space="preserve"> </w:t>
      </w:r>
      <w:r w:rsidR="00AF2953">
        <w:rPr>
          <w:rFonts w:ascii="Calibri" w:hAnsi="Calibri" w:cs="Calibri"/>
          <w:color w:val="000000" w:themeColor="text1"/>
          <w:lang w:val="en-US"/>
        </w:rPr>
        <w:t>projects that reflect this.</w:t>
      </w:r>
    </w:p>
    <w:p w:rsidR="008109C3" w:rsidP="00A0209D" w:rsidRDefault="008109C3" w14:paraId="142EF86F" w14:textId="77777777">
      <w:pPr>
        <w:rPr>
          <w:rFonts w:ascii="Calibri" w:hAnsi="Calibri" w:cs="Calibri"/>
          <w:color w:val="000000" w:themeColor="text1"/>
          <w:lang w:val="en-US"/>
        </w:rPr>
      </w:pPr>
    </w:p>
    <w:p w:rsidR="0055754B" w:rsidP="00A0209D" w:rsidRDefault="0055754B" w14:paraId="764F1E05" w14:textId="5413BC63">
      <w:pPr>
        <w:rPr>
          <w:rFonts w:ascii="Calibri" w:hAnsi="Calibri" w:cs="Calibri"/>
          <w:color w:val="000000" w:themeColor="text1"/>
          <w:lang w:val="en-US"/>
        </w:rPr>
      </w:pPr>
      <w:r w:rsidRPr="008109C3">
        <w:rPr>
          <w:rFonts w:ascii="Calibri" w:hAnsi="Calibri" w:cs="Calibri"/>
          <w:b/>
          <w:bCs/>
          <w:color w:val="000000" w:themeColor="text1"/>
          <w:u w:val="single"/>
          <w:lang w:val="en-US"/>
        </w:rPr>
        <w:t>The grant proposal process</w:t>
      </w:r>
      <w:r>
        <w:rPr>
          <w:rFonts w:ascii="Calibri" w:hAnsi="Calibri" w:cs="Calibri"/>
          <w:color w:val="000000" w:themeColor="text1"/>
          <w:lang w:val="en-US"/>
        </w:rPr>
        <w:t xml:space="preserve"> entails two steps: </w:t>
      </w:r>
    </w:p>
    <w:p w:rsidR="0055754B" w:rsidP="005C5FBA" w:rsidRDefault="0055754B" w14:paraId="2735D1FC" w14:textId="04492475">
      <w:pPr>
        <w:ind w:left="708"/>
        <w:rPr>
          <w:rFonts w:ascii="Calibri" w:hAnsi="Calibri" w:cs="Calibri"/>
          <w:color w:val="000000" w:themeColor="text1"/>
          <w:lang w:val="en-US"/>
        </w:rPr>
      </w:pPr>
      <w:r>
        <w:rPr>
          <w:rFonts w:ascii="Calibri" w:hAnsi="Calibri" w:cs="Calibri"/>
          <w:color w:val="000000" w:themeColor="text1"/>
          <w:lang w:val="en-US"/>
        </w:rPr>
        <w:t xml:space="preserve">1) </w:t>
      </w:r>
      <w:r w:rsidRPr="00993043" w:rsidR="00A0209D">
        <w:rPr>
          <w:rFonts w:ascii="Calibri" w:hAnsi="Calibri" w:cs="Calibri"/>
          <w:color w:val="000000" w:themeColor="text1"/>
          <w:lang w:val="en-US"/>
        </w:rPr>
        <w:t xml:space="preserve">Project </w:t>
      </w:r>
      <w:r w:rsidR="005C5FBA">
        <w:rPr>
          <w:rFonts w:ascii="Calibri" w:hAnsi="Calibri" w:cs="Calibri"/>
          <w:color w:val="000000" w:themeColor="text1"/>
          <w:lang w:val="en-US"/>
        </w:rPr>
        <w:t xml:space="preserve">ideas </w:t>
      </w:r>
      <w:r w:rsidRPr="00993043" w:rsidR="003F4FED">
        <w:rPr>
          <w:rFonts w:ascii="Calibri" w:hAnsi="Calibri" w:cs="Calibri"/>
          <w:color w:val="000000" w:themeColor="text1"/>
          <w:lang w:val="en-US"/>
        </w:rPr>
        <w:t xml:space="preserve">must </w:t>
      </w:r>
      <w:r w:rsidRPr="00993043" w:rsidR="00A0209D">
        <w:rPr>
          <w:rFonts w:ascii="Calibri" w:hAnsi="Calibri" w:cs="Calibri"/>
          <w:color w:val="000000" w:themeColor="text1"/>
          <w:lang w:val="en-US"/>
        </w:rPr>
        <w:t xml:space="preserve">be submitted </w:t>
      </w:r>
      <w:r w:rsidRPr="00993043" w:rsidR="003F4FED">
        <w:rPr>
          <w:rFonts w:ascii="Calibri" w:hAnsi="Calibri" w:cs="Calibri"/>
          <w:color w:val="000000" w:themeColor="text1"/>
          <w:lang w:val="en-US"/>
        </w:rPr>
        <w:t xml:space="preserve">between </w:t>
      </w:r>
      <w:r w:rsidRPr="00810346" w:rsidR="00C46595">
        <w:rPr>
          <w:rFonts w:ascii="Calibri" w:hAnsi="Calibri" w:cs="Calibri"/>
          <w:b/>
          <w:bCs/>
          <w:lang w:val="en-US"/>
        </w:rPr>
        <w:t>November 1</w:t>
      </w:r>
      <w:r w:rsidRPr="00810346" w:rsidR="003F4FED">
        <w:rPr>
          <w:rFonts w:ascii="Calibri" w:hAnsi="Calibri" w:cs="Calibri"/>
          <w:b/>
          <w:bCs/>
          <w:lang w:val="en-US"/>
        </w:rPr>
        <w:t xml:space="preserve"> </w:t>
      </w:r>
      <w:r w:rsidRPr="00810346" w:rsidR="00C46595">
        <w:rPr>
          <w:rFonts w:ascii="Calibri" w:hAnsi="Calibri" w:cs="Calibri"/>
          <w:b/>
          <w:bCs/>
          <w:lang w:val="en-US"/>
        </w:rPr>
        <w:t>–</w:t>
      </w:r>
      <w:r w:rsidRPr="00810346" w:rsidR="00A0209D">
        <w:rPr>
          <w:rFonts w:ascii="Calibri" w:hAnsi="Calibri" w:cs="Calibri"/>
          <w:b/>
          <w:bCs/>
          <w:lang w:val="en-US"/>
        </w:rPr>
        <w:t xml:space="preserve"> </w:t>
      </w:r>
      <w:r w:rsidRPr="00810346" w:rsidR="00C46595">
        <w:rPr>
          <w:rFonts w:ascii="Calibri" w:hAnsi="Calibri" w:cs="Calibri"/>
          <w:b/>
          <w:bCs/>
          <w:lang w:val="en-US"/>
        </w:rPr>
        <w:t>November 30</w:t>
      </w:r>
      <w:r w:rsidRPr="00C46595" w:rsidR="00A0209D">
        <w:rPr>
          <w:rFonts w:ascii="Calibri" w:hAnsi="Calibri" w:cs="Calibri"/>
          <w:lang w:val="en-US"/>
        </w:rPr>
        <w:t xml:space="preserve"> </w:t>
      </w:r>
      <w:r w:rsidRPr="00993043" w:rsidR="003F4FED">
        <w:rPr>
          <w:rFonts w:ascii="Calibri" w:hAnsi="Calibri" w:cs="Calibri"/>
          <w:color w:val="000000" w:themeColor="text1"/>
          <w:lang w:val="en-US"/>
        </w:rPr>
        <w:t xml:space="preserve">for </w:t>
      </w:r>
      <w:proofErr w:type="gramStart"/>
      <w:r w:rsidRPr="00993043" w:rsidR="003F4FED">
        <w:rPr>
          <w:rFonts w:ascii="Calibri" w:hAnsi="Calibri" w:cs="Calibri"/>
          <w:color w:val="000000" w:themeColor="text1"/>
          <w:lang w:val="en-US"/>
        </w:rPr>
        <w:t>screening</w:t>
      </w:r>
      <w:r>
        <w:rPr>
          <w:rFonts w:ascii="Calibri" w:hAnsi="Calibri" w:cs="Calibri"/>
          <w:color w:val="000000" w:themeColor="text1"/>
          <w:lang w:val="en-US"/>
        </w:rPr>
        <w:t>;</w:t>
      </w:r>
      <w:proofErr w:type="gramEnd"/>
      <w:r w:rsidRPr="00993043" w:rsidR="00A0209D">
        <w:rPr>
          <w:rFonts w:ascii="Calibri" w:hAnsi="Calibri" w:cs="Calibri"/>
          <w:color w:val="000000" w:themeColor="text1"/>
          <w:lang w:val="en-US"/>
        </w:rPr>
        <w:t xml:space="preserve"> </w:t>
      </w:r>
    </w:p>
    <w:p w:rsidRPr="00C46595" w:rsidR="00A0209D" w:rsidP="005E6DFA" w:rsidRDefault="0055754B" w14:paraId="2B7702CD" w14:textId="29279DCE">
      <w:pPr>
        <w:ind w:left="708"/>
        <w:rPr>
          <w:rFonts w:ascii="Calibri" w:hAnsi="Calibri" w:cs="Calibri"/>
          <w:b/>
          <w:bCs/>
          <w:i/>
          <w:iCs/>
          <w:color w:val="000000" w:themeColor="text1"/>
          <w:lang w:val="en-US"/>
        </w:rPr>
      </w:pPr>
      <w:r>
        <w:rPr>
          <w:rFonts w:ascii="Calibri" w:hAnsi="Calibri" w:cs="Calibri"/>
          <w:color w:val="000000" w:themeColor="text1"/>
          <w:lang w:val="en-US"/>
        </w:rPr>
        <w:t>2) Selected s</w:t>
      </w:r>
      <w:r w:rsidRPr="00993043" w:rsidR="00A0209D">
        <w:rPr>
          <w:rFonts w:ascii="Calibri" w:hAnsi="Calibri" w:cs="Calibri"/>
          <w:color w:val="000000" w:themeColor="text1"/>
          <w:lang w:val="en-US"/>
        </w:rPr>
        <w:t>uccessful ideas will be invited to submit a full proposal</w:t>
      </w:r>
      <w:r w:rsidRPr="00993043" w:rsidR="003F4FED">
        <w:rPr>
          <w:rFonts w:ascii="Calibri" w:hAnsi="Calibri" w:cs="Calibri"/>
          <w:color w:val="000000" w:themeColor="text1"/>
          <w:lang w:val="en-US"/>
        </w:rPr>
        <w:t xml:space="preserve">, due </w:t>
      </w:r>
      <w:r w:rsidRPr="00810346" w:rsidR="003F4FED">
        <w:rPr>
          <w:rFonts w:ascii="Calibri" w:hAnsi="Calibri" w:cs="Calibri"/>
          <w:color w:val="000000" w:themeColor="text1"/>
          <w:lang w:val="en-US"/>
        </w:rPr>
        <w:t xml:space="preserve">by </w:t>
      </w:r>
      <w:r w:rsidRPr="00810346" w:rsidR="00C46595">
        <w:rPr>
          <w:rFonts w:ascii="Calibri" w:hAnsi="Calibri" w:cs="Calibri"/>
          <w:b/>
          <w:bCs/>
          <w:lang w:val="en-US"/>
        </w:rPr>
        <w:t xml:space="preserve">January </w:t>
      </w:r>
      <w:r w:rsidR="00810346">
        <w:rPr>
          <w:rFonts w:ascii="Calibri" w:hAnsi="Calibri" w:cs="Calibri"/>
          <w:b/>
          <w:bCs/>
          <w:lang w:val="en-US"/>
        </w:rPr>
        <w:t>15</w:t>
      </w:r>
      <w:r w:rsidRPr="00810346" w:rsidR="00C46595">
        <w:rPr>
          <w:rFonts w:ascii="Calibri" w:hAnsi="Calibri" w:cs="Calibri"/>
          <w:b/>
          <w:bCs/>
          <w:lang w:val="en-US"/>
        </w:rPr>
        <w:t>,</w:t>
      </w:r>
      <w:r w:rsidRPr="00810346" w:rsidR="00FF2992">
        <w:rPr>
          <w:rFonts w:ascii="Calibri" w:hAnsi="Calibri" w:cs="Calibri"/>
          <w:b/>
          <w:bCs/>
          <w:lang w:val="en-US"/>
        </w:rPr>
        <w:t xml:space="preserve"> </w:t>
      </w:r>
      <w:r w:rsidRPr="00810346" w:rsidR="00C46595">
        <w:rPr>
          <w:rFonts w:ascii="Calibri" w:hAnsi="Calibri" w:cs="Calibri"/>
          <w:b/>
          <w:bCs/>
          <w:lang w:val="en-US"/>
        </w:rPr>
        <w:t>2022</w:t>
      </w:r>
      <w:r w:rsidRPr="00810346" w:rsidR="009321E6">
        <w:rPr>
          <w:rFonts w:ascii="Calibri" w:hAnsi="Calibri" w:cs="Calibri"/>
          <w:b/>
          <w:bCs/>
          <w:lang w:val="en-US"/>
        </w:rPr>
        <w:t>.</w:t>
      </w:r>
      <w:r w:rsidRPr="00993043" w:rsidR="00544C61">
        <w:rPr>
          <w:rFonts w:ascii="Calibri" w:hAnsi="Calibri" w:cs="Calibri"/>
          <w:color w:val="000000" w:themeColor="text1"/>
          <w:lang w:val="en-US"/>
        </w:rPr>
        <w:t xml:space="preserve"> </w:t>
      </w:r>
      <w:r w:rsidRPr="00C46595" w:rsidR="00544C61">
        <w:rPr>
          <w:rFonts w:ascii="Calibri" w:hAnsi="Calibri" w:cs="Calibri"/>
          <w:b/>
          <w:bCs/>
          <w:i/>
          <w:iCs/>
          <w:color w:val="000000" w:themeColor="text1"/>
          <w:lang w:val="en-US"/>
        </w:rPr>
        <w:t>Only invited proposals will be considered</w:t>
      </w:r>
      <w:r w:rsidRPr="00C46595" w:rsidR="005A50D4">
        <w:rPr>
          <w:rFonts w:ascii="Calibri" w:hAnsi="Calibri" w:cs="Calibri"/>
          <w:b/>
          <w:bCs/>
          <w:i/>
          <w:iCs/>
          <w:color w:val="000000" w:themeColor="text1"/>
          <w:lang w:val="en-US"/>
        </w:rPr>
        <w:t xml:space="preserve"> for support.</w:t>
      </w:r>
    </w:p>
    <w:p w:rsidR="00E4707C" w:rsidP="00A0209D" w:rsidRDefault="00E4707C" w14:paraId="38DB9135" w14:textId="77777777">
      <w:pPr>
        <w:rPr>
          <w:rFonts w:ascii="Calibri" w:hAnsi="Calibri" w:cs="Calibri"/>
          <w:color w:val="000000" w:themeColor="text1"/>
          <w:u w:val="single"/>
          <w:lang w:val="en-US"/>
        </w:rPr>
      </w:pPr>
    </w:p>
    <w:p w:rsidR="005C5FBA" w:rsidP="00A0209D" w:rsidRDefault="005C5FBA" w14:paraId="65A25468" w14:textId="6AC5946A">
      <w:pPr>
        <w:rPr>
          <w:rFonts w:ascii="Calibri" w:hAnsi="Calibri" w:cs="Calibri"/>
          <w:color w:val="000000" w:themeColor="text1"/>
          <w:lang w:val="en-US"/>
        </w:rPr>
      </w:pPr>
      <w:r w:rsidRPr="008109C3">
        <w:rPr>
          <w:rFonts w:ascii="Calibri" w:hAnsi="Calibri" w:cs="Calibri"/>
          <w:b/>
          <w:bCs/>
          <w:color w:val="000000" w:themeColor="text1"/>
          <w:u w:val="single"/>
          <w:lang w:val="en-US"/>
        </w:rPr>
        <w:t>Eligible a</w:t>
      </w:r>
      <w:r w:rsidRPr="008109C3" w:rsidR="003F4FED">
        <w:rPr>
          <w:rFonts w:ascii="Calibri" w:hAnsi="Calibri" w:cs="Calibri"/>
          <w:b/>
          <w:bCs/>
          <w:color w:val="000000" w:themeColor="text1"/>
          <w:u w:val="single"/>
          <w:lang w:val="en-US"/>
        </w:rPr>
        <w:t>pplic</w:t>
      </w:r>
      <w:r w:rsidRPr="008109C3">
        <w:rPr>
          <w:rFonts w:ascii="Calibri" w:hAnsi="Calibri" w:cs="Calibri"/>
          <w:b/>
          <w:bCs/>
          <w:color w:val="000000" w:themeColor="text1"/>
          <w:u w:val="single"/>
          <w:lang w:val="en-US"/>
        </w:rPr>
        <w:t>ations</w:t>
      </w:r>
      <w:r w:rsidRPr="008109C3" w:rsidR="003F4FED">
        <w:rPr>
          <w:rFonts w:ascii="Calibri" w:hAnsi="Calibri" w:cs="Calibri"/>
          <w:color w:val="000000" w:themeColor="text1"/>
          <w:lang w:val="en-US"/>
        </w:rPr>
        <w:t xml:space="preserve"> </w:t>
      </w:r>
      <w:r w:rsidRPr="008109C3" w:rsidR="00544C61">
        <w:rPr>
          <w:rFonts w:ascii="Calibri" w:hAnsi="Calibri" w:cs="Calibri"/>
          <w:color w:val="000000" w:themeColor="text1"/>
          <w:lang w:val="en-US"/>
        </w:rPr>
        <w:t>must</w:t>
      </w:r>
      <w:r w:rsidRPr="008109C3" w:rsidR="003F4FED">
        <w:rPr>
          <w:rFonts w:ascii="Calibri" w:hAnsi="Calibri" w:cs="Calibri"/>
          <w:color w:val="000000" w:themeColor="text1"/>
          <w:lang w:val="en-US"/>
        </w:rPr>
        <w:t xml:space="preserve"> come from</w:t>
      </w:r>
      <w:r>
        <w:rPr>
          <w:rFonts w:ascii="Calibri" w:hAnsi="Calibri" w:cs="Calibri"/>
          <w:color w:val="000000" w:themeColor="text1"/>
          <w:u w:val="single"/>
          <w:lang w:val="en-US"/>
        </w:rPr>
        <w:t>:</w:t>
      </w:r>
      <w:r w:rsidRPr="00810346" w:rsidR="003F4FED">
        <w:rPr>
          <w:rFonts w:ascii="Calibri" w:hAnsi="Calibri" w:cs="Calibri"/>
          <w:color w:val="000000" w:themeColor="text1"/>
          <w:lang w:val="en-US"/>
        </w:rPr>
        <w:t xml:space="preserve"> </w:t>
      </w:r>
      <w:r>
        <w:rPr>
          <w:rFonts w:ascii="Calibri" w:hAnsi="Calibri" w:cs="Calibri"/>
          <w:color w:val="000000" w:themeColor="text1"/>
          <w:lang w:val="en-US"/>
        </w:rPr>
        <w:t xml:space="preserve"> </w:t>
      </w:r>
    </w:p>
    <w:p w:rsidR="005C5FBA" w:rsidP="005C5FBA" w:rsidRDefault="005C5FBA" w14:paraId="526C3D04" w14:textId="353D1B0E">
      <w:pPr>
        <w:pStyle w:val="ListParagraph"/>
        <w:numPr>
          <w:ilvl w:val="0"/>
          <w:numId w:val="14"/>
        </w:numPr>
        <w:rPr>
          <w:rFonts w:ascii="Calibri" w:hAnsi="Calibri" w:cs="Calibri"/>
          <w:color w:val="000000" w:themeColor="text1"/>
          <w:lang w:val="en-US"/>
        </w:rPr>
      </w:pPr>
      <w:r>
        <w:rPr>
          <w:rFonts w:ascii="Calibri" w:hAnsi="Calibri" w:cs="Calibri"/>
          <w:color w:val="000000" w:themeColor="text1"/>
          <w:lang w:val="en-US"/>
        </w:rPr>
        <w:t>G</w:t>
      </w:r>
      <w:r w:rsidRPr="005C5FBA" w:rsidR="003F4FED">
        <w:rPr>
          <w:rFonts w:ascii="Calibri" w:hAnsi="Calibri" w:cs="Calibri"/>
          <w:color w:val="000000" w:themeColor="text1"/>
          <w:lang w:val="en-US"/>
        </w:rPr>
        <w:t xml:space="preserve">overnment agencies </w:t>
      </w:r>
      <w:r w:rsidR="00E4707C">
        <w:rPr>
          <w:rFonts w:ascii="Calibri" w:hAnsi="Calibri" w:cs="Calibri"/>
          <w:color w:val="000000" w:themeColor="text1"/>
          <w:lang w:val="en-US"/>
        </w:rPr>
        <w:t>(national, state/province, municipal/urban)</w:t>
      </w:r>
    </w:p>
    <w:p w:rsidR="005C5FBA" w:rsidP="005C5FBA" w:rsidRDefault="005C5FBA" w14:paraId="4456AF9D" w14:textId="06B31867">
      <w:pPr>
        <w:pStyle w:val="ListParagraph"/>
        <w:numPr>
          <w:ilvl w:val="0"/>
          <w:numId w:val="14"/>
        </w:numPr>
        <w:rPr>
          <w:rFonts w:ascii="Calibri" w:hAnsi="Calibri" w:cs="Calibri"/>
          <w:color w:val="000000" w:themeColor="text1"/>
          <w:lang w:val="en-US"/>
        </w:rPr>
      </w:pPr>
      <w:r>
        <w:rPr>
          <w:rFonts w:ascii="Calibri" w:hAnsi="Calibri" w:cs="Calibri"/>
          <w:color w:val="000000" w:themeColor="text1"/>
          <w:lang w:val="en-US"/>
        </w:rPr>
        <w:t>N</w:t>
      </w:r>
      <w:r w:rsidRPr="005C5FBA" w:rsidR="00B54868">
        <w:rPr>
          <w:rFonts w:ascii="Calibri" w:hAnsi="Calibri" w:cs="Calibri"/>
          <w:color w:val="000000" w:themeColor="text1"/>
          <w:lang w:val="en-US"/>
        </w:rPr>
        <w:t xml:space="preserve">ational NGOs </w:t>
      </w:r>
      <w:r>
        <w:rPr>
          <w:rFonts w:ascii="Calibri" w:hAnsi="Calibri" w:cs="Calibri"/>
          <w:color w:val="000000" w:themeColor="text1"/>
          <w:lang w:val="en-US"/>
        </w:rPr>
        <w:t>(Only eligible to apply for equity-focused projects only, see below)</w:t>
      </w:r>
    </w:p>
    <w:p w:rsidR="00E4707C" w:rsidP="005C5FBA" w:rsidRDefault="00E4707C" w14:paraId="73381926" w14:textId="77777777">
      <w:pPr>
        <w:rPr>
          <w:rFonts w:ascii="Calibri" w:hAnsi="Calibri" w:cs="Calibri"/>
          <w:color w:val="000000" w:themeColor="text1"/>
          <w:lang w:val="en-US"/>
        </w:rPr>
      </w:pPr>
    </w:p>
    <w:p w:rsidRPr="008030E3" w:rsidR="00544C61" w:rsidP="005C5FBA" w:rsidRDefault="005C5FBA" w14:paraId="134019BD" w14:textId="6F412EEF">
      <w:pPr>
        <w:rPr>
          <w:rFonts w:ascii="Calibri" w:hAnsi="Calibri" w:cs="Calibri"/>
          <w:color w:val="000000" w:themeColor="text1"/>
          <w:u w:val="single"/>
          <w:lang w:val="en-US"/>
        </w:rPr>
      </w:pPr>
      <w:r w:rsidRPr="008109C3">
        <w:rPr>
          <w:rFonts w:ascii="Calibri" w:hAnsi="Calibri" w:cs="Calibri"/>
          <w:color w:val="000000" w:themeColor="text1"/>
          <w:lang w:val="en-US"/>
        </w:rPr>
        <w:t xml:space="preserve">Applications should </w:t>
      </w:r>
      <w:r w:rsidRPr="008109C3" w:rsidR="003F4FED">
        <w:rPr>
          <w:rFonts w:ascii="Calibri" w:hAnsi="Calibri" w:cs="Calibri"/>
          <w:color w:val="000000" w:themeColor="text1"/>
          <w:lang w:val="en-US"/>
        </w:rPr>
        <w:t xml:space="preserve">focus on </w:t>
      </w:r>
      <w:r w:rsidRPr="008109C3" w:rsidR="00544C61">
        <w:rPr>
          <w:rFonts w:ascii="Calibri" w:hAnsi="Calibri" w:cs="Calibri"/>
          <w:color w:val="000000" w:themeColor="text1"/>
          <w:lang w:val="en-US"/>
        </w:rPr>
        <w:t xml:space="preserve">at least one of the following </w:t>
      </w:r>
      <w:r w:rsidRPr="008109C3" w:rsidR="0055754B">
        <w:rPr>
          <w:rFonts w:ascii="Calibri" w:hAnsi="Calibri" w:cs="Calibri"/>
          <w:b/>
          <w:bCs/>
          <w:color w:val="000000" w:themeColor="text1"/>
          <w:u w:val="single"/>
          <w:lang w:val="en-US"/>
        </w:rPr>
        <w:t xml:space="preserve">core </w:t>
      </w:r>
      <w:r w:rsidRPr="008109C3" w:rsidR="009B46BA">
        <w:rPr>
          <w:rFonts w:ascii="Calibri" w:hAnsi="Calibri" w:cs="Calibri"/>
          <w:b/>
          <w:bCs/>
          <w:color w:val="000000" w:themeColor="text1"/>
          <w:u w:val="single"/>
          <w:lang w:val="en-US"/>
        </w:rPr>
        <w:t>areas</w:t>
      </w:r>
      <w:r w:rsidR="008F473F">
        <w:rPr>
          <w:rFonts w:ascii="Calibri" w:hAnsi="Calibri" w:cs="Calibri"/>
          <w:color w:val="000000" w:themeColor="text1"/>
          <w:lang w:val="en-US"/>
        </w:rPr>
        <w:t>: (</w:t>
      </w:r>
      <w:r w:rsidRPr="008030E3" w:rsidR="008030E3">
        <w:rPr>
          <w:rFonts w:ascii="Calibri" w:hAnsi="Calibri" w:cs="Calibri"/>
          <w:color w:val="000000" w:themeColor="text1"/>
          <w:lang w:val="en-US"/>
        </w:rPr>
        <w:t xml:space="preserve">see </w:t>
      </w:r>
      <w:hyperlink w:history="1" r:id="rId8">
        <w:r w:rsidRPr="00A50E90" w:rsidR="008030E3">
          <w:rPr>
            <w:rStyle w:val="Hyperlink"/>
            <w:rFonts w:ascii="Calibri" w:hAnsi="Calibri" w:cs="Calibri"/>
            <w:lang w:val="en-US"/>
          </w:rPr>
          <w:t>www.d4hglobalgrantsprogram.org</w:t>
        </w:r>
      </w:hyperlink>
      <w:r w:rsidRPr="008030E3" w:rsidR="008030E3">
        <w:rPr>
          <w:rFonts w:ascii="Calibri" w:hAnsi="Calibri" w:cs="Calibri"/>
          <w:color w:val="000000" w:themeColor="text1"/>
          <w:lang w:val="en-US"/>
        </w:rPr>
        <w:t xml:space="preserve"> for further details)</w:t>
      </w:r>
      <w:r w:rsidRPr="008030E3" w:rsidR="00544C61">
        <w:rPr>
          <w:rFonts w:ascii="Calibri" w:hAnsi="Calibri" w:cs="Calibri"/>
          <w:color w:val="000000" w:themeColor="text1"/>
          <w:lang w:val="en-US"/>
        </w:rPr>
        <w:t xml:space="preserve">: </w:t>
      </w:r>
    </w:p>
    <w:p w:rsidRPr="008109C3" w:rsidR="005C5FBA" w:rsidP="005C5FBA" w:rsidRDefault="00544C61" w14:paraId="05C6FE64" w14:textId="38359B42">
      <w:pPr>
        <w:pStyle w:val="ListParagraph"/>
        <w:numPr>
          <w:ilvl w:val="0"/>
          <w:numId w:val="4"/>
        </w:numPr>
        <w:rPr>
          <w:rFonts w:ascii="Calibri" w:hAnsi="Calibri" w:cs="Calibri"/>
          <w:b/>
          <w:bCs/>
          <w:color w:val="000000" w:themeColor="text1"/>
          <w:sz w:val="24"/>
          <w:szCs w:val="24"/>
          <w:lang w:val="en-US"/>
        </w:rPr>
      </w:pPr>
      <w:r w:rsidRPr="008109C3">
        <w:rPr>
          <w:rFonts w:ascii="Calibri" w:hAnsi="Calibri" w:cs="Calibri"/>
          <w:b/>
          <w:bCs/>
          <w:color w:val="000000" w:themeColor="text1"/>
          <w:sz w:val="24"/>
          <w:szCs w:val="24"/>
          <w:lang w:val="en-US"/>
        </w:rPr>
        <w:t>Strengthening c</w:t>
      </w:r>
      <w:r w:rsidRPr="008109C3" w:rsidR="003F4FED">
        <w:rPr>
          <w:rFonts w:ascii="Calibri" w:hAnsi="Calibri" w:cs="Calibri"/>
          <w:b/>
          <w:bCs/>
          <w:color w:val="000000" w:themeColor="text1"/>
          <w:sz w:val="24"/>
          <w:szCs w:val="24"/>
          <w:lang w:val="en-US"/>
        </w:rPr>
        <w:t>ivil registration and vital statistics</w:t>
      </w:r>
      <w:r w:rsidRPr="008109C3">
        <w:rPr>
          <w:rFonts w:ascii="Calibri" w:hAnsi="Calibri" w:cs="Calibri"/>
          <w:b/>
          <w:bCs/>
          <w:color w:val="000000" w:themeColor="text1"/>
          <w:sz w:val="24"/>
          <w:szCs w:val="24"/>
          <w:lang w:val="en-US"/>
        </w:rPr>
        <w:t xml:space="preserve"> systems</w:t>
      </w:r>
    </w:p>
    <w:p w:rsidRPr="008109C3" w:rsidR="00052EF1" w:rsidP="009B46BA" w:rsidRDefault="00544C61" w14:paraId="3B21FE70" w14:textId="3DCB1CD9">
      <w:pPr>
        <w:pStyle w:val="ListParagraph"/>
        <w:numPr>
          <w:ilvl w:val="0"/>
          <w:numId w:val="4"/>
        </w:numPr>
        <w:rPr>
          <w:rFonts w:ascii="Calibri" w:hAnsi="Calibri" w:cs="Calibri"/>
          <w:b/>
          <w:bCs/>
          <w:color w:val="000000" w:themeColor="text1"/>
          <w:sz w:val="24"/>
          <w:szCs w:val="24"/>
          <w:lang w:val="en-US"/>
        </w:rPr>
      </w:pPr>
      <w:r w:rsidRPr="008109C3">
        <w:rPr>
          <w:rFonts w:ascii="Calibri" w:hAnsi="Calibri" w:cs="Calibri"/>
          <w:b/>
          <w:bCs/>
          <w:color w:val="000000" w:themeColor="text1"/>
          <w:sz w:val="24"/>
          <w:szCs w:val="24"/>
          <w:lang w:val="en-US"/>
        </w:rPr>
        <w:t xml:space="preserve">Using public health data for policy development and </w:t>
      </w:r>
      <w:r w:rsidRPr="008109C3" w:rsidR="0055754B">
        <w:rPr>
          <w:rFonts w:ascii="Calibri" w:hAnsi="Calibri" w:cs="Calibri"/>
          <w:b/>
          <w:bCs/>
          <w:color w:val="000000" w:themeColor="text1"/>
          <w:sz w:val="24"/>
          <w:szCs w:val="24"/>
          <w:lang w:val="en-US"/>
        </w:rPr>
        <w:t xml:space="preserve">program </w:t>
      </w:r>
      <w:r w:rsidRPr="008109C3">
        <w:rPr>
          <w:rFonts w:ascii="Calibri" w:hAnsi="Calibri" w:cs="Calibri"/>
          <w:b/>
          <w:bCs/>
          <w:color w:val="000000" w:themeColor="text1"/>
          <w:sz w:val="24"/>
          <w:szCs w:val="24"/>
          <w:lang w:val="en-US"/>
        </w:rPr>
        <w:t>planning</w:t>
      </w:r>
    </w:p>
    <w:p w:rsidRPr="008109C3" w:rsidR="009B46BA" w:rsidP="008109C3" w:rsidRDefault="009B46BA" w14:paraId="519FB02A" w14:textId="7E760288">
      <w:pPr>
        <w:ind w:left="708"/>
        <w:rPr>
          <w:rFonts w:ascii="Calibri" w:hAnsi="Calibri" w:cs="Calibri"/>
          <w:color w:val="000000" w:themeColor="text1"/>
          <w:lang w:val="en-US"/>
        </w:rPr>
      </w:pPr>
      <w:r w:rsidRPr="008109C3">
        <w:rPr>
          <w:rFonts w:ascii="Calibri" w:hAnsi="Calibri" w:cs="Calibri"/>
          <w:i/>
          <w:iCs/>
          <w:color w:val="000000" w:themeColor="text1"/>
          <w:lang w:val="en-US"/>
        </w:rPr>
        <w:t xml:space="preserve">Within the </w:t>
      </w:r>
      <w:r w:rsidRPr="008109C3" w:rsidR="0055754B">
        <w:rPr>
          <w:rFonts w:ascii="Calibri" w:hAnsi="Calibri" w:cs="Calibri"/>
          <w:i/>
          <w:iCs/>
          <w:color w:val="000000" w:themeColor="text1"/>
          <w:lang w:val="en-US"/>
        </w:rPr>
        <w:t>core</w:t>
      </w:r>
      <w:r w:rsidRPr="008109C3">
        <w:rPr>
          <w:rFonts w:ascii="Calibri" w:hAnsi="Calibri" w:cs="Calibri"/>
          <w:i/>
          <w:iCs/>
          <w:color w:val="000000" w:themeColor="text1"/>
          <w:lang w:val="en-US"/>
        </w:rPr>
        <w:t xml:space="preserve"> areas above</w:t>
      </w:r>
      <w:r w:rsidRPr="008109C3">
        <w:rPr>
          <w:rFonts w:ascii="Calibri" w:hAnsi="Calibri" w:cs="Calibri"/>
          <w:color w:val="000000" w:themeColor="text1"/>
          <w:lang w:val="en-US"/>
        </w:rPr>
        <w:t xml:space="preserve">, we </w:t>
      </w:r>
      <w:r w:rsidRPr="008109C3" w:rsidR="009A259B">
        <w:rPr>
          <w:rFonts w:ascii="Calibri" w:hAnsi="Calibri" w:cs="Calibri"/>
          <w:color w:val="000000" w:themeColor="text1"/>
          <w:lang w:val="en-US"/>
        </w:rPr>
        <w:t xml:space="preserve">also </w:t>
      </w:r>
      <w:r w:rsidRPr="008109C3" w:rsidR="001D7FDF">
        <w:rPr>
          <w:rFonts w:ascii="Calibri" w:hAnsi="Calibri" w:cs="Calibri"/>
          <w:color w:val="000000" w:themeColor="text1"/>
          <w:lang w:val="en-US"/>
        </w:rPr>
        <w:t>encourage</w:t>
      </w:r>
      <w:r w:rsidRPr="008109C3">
        <w:rPr>
          <w:rFonts w:ascii="Calibri" w:hAnsi="Calibri" w:cs="Calibri"/>
          <w:color w:val="000000" w:themeColor="text1"/>
          <w:lang w:val="en-US"/>
        </w:rPr>
        <w:t xml:space="preserve"> applications </w:t>
      </w:r>
      <w:r w:rsidRPr="008109C3" w:rsidR="009A259B">
        <w:rPr>
          <w:rFonts w:ascii="Calibri" w:hAnsi="Calibri" w:cs="Calibri"/>
          <w:color w:val="000000" w:themeColor="text1"/>
          <w:lang w:val="en-US"/>
        </w:rPr>
        <w:t xml:space="preserve">with an </w:t>
      </w:r>
      <w:r w:rsidRPr="008109C3" w:rsidR="009A259B">
        <w:rPr>
          <w:rFonts w:ascii="Calibri" w:hAnsi="Calibri" w:cs="Calibri"/>
          <w:b/>
          <w:bCs/>
          <w:color w:val="000000" w:themeColor="text1"/>
          <w:u w:val="single"/>
          <w:lang w:val="en-US"/>
        </w:rPr>
        <w:t xml:space="preserve">optional </w:t>
      </w:r>
      <w:r w:rsidRPr="008109C3">
        <w:rPr>
          <w:rFonts w:ascii="Calibri" w:hAnsi="Calibri" w:cs="Calibri"/>
          <w:b/>
          <w:bCs/>
          <w:color w:val="000000" w:themeColor="text1"/>
          <w:u w:val="single"/>
          <w:lang w:val="en-US"/>
        </w:rPr>
        <w:t>focus</w:t>
      </w:r>
      <w:r w:rsidRPr="008109C3">
        <w:rPr>
          <w:rFonts w:ascii="Calibri" w:hAnsi="Calibri" w:cs="Calibri"/>
          <w:color w:val="000000" w:themeColor="text1"/>
          <w:lang w:val="en-US"/>
        </w:rPr>
        <w:t xml:space="preserve"> on one or both of the following themes</w:t>
      </w:r>
      <w:r w:rsidRPr="008109C3" w:rsidR="003B5C50">
        <w:rPr>
          <w:rFonts w:ascii="Calibri" w:hAnsi="Calibri" w:cs="Calibri"/>
          <w:color w:val="000000" w:themeColor="text1"/>
          <w:lang w:val="en-US"/>
        </w:rPr>
        <w:t>:</w:t>
      </w:r>
    </w:p>
    <w:p w:rsidRPr="008109C3" w:rsidR="009A259B" w:rsidP="008109C3" w:rsidRDefault="008F473F" w14:paraId="41F5D9E1" w14:textId="1B4486B3">
      <w:pPr>
        <w:pStyle w:val="ListParagraph"/>
        <w:numPr>
          <w:ilvl w:val="1"/>
          <w:numId w:val="4"/>
        </w:numPr>
        <w:rPr>
          <w:rFonts w:ascii="Calibri" w:hAnsi="Calibri" w:cs="Calibri"/>
          <w:b/>
          <w:bCs/>
          <w:color w:val="000000" w:themeColor="text1"/>
          <w:sz w:val="24"/>
          <w:szCs w:val="24"/>
          <w:lang w:val="en-US"/>
        </w:rPr>
      </w:pPr>
      <w:r>
        <w:rPr>
          <w:rFonts w:ascii="Calibri" w:hAnsi="Calibri" w:cs="Calibri"/>
          <w:b/>
          <w:bCs/>
          <w:color w:val="000000" w:themeColor="text1"/>
          <w:sz w:val="24"/>
          <w:szCs w:val="24"/>
          <w:lang w:val="en-US"/>
        </w:rPr>
        <w:t xml:space="preserve">Data for </w:t>
      </w:r>
      <w:r w:rsidRPr="008109C3" w:rsidR="009A259B">
        <w:rPr>
          <w:rFonts w:ascii="Calibri" w:hAnsi="Calibri" w:cs="Calibri"/>
          <w:b/>
          <w:bCs/>
          <w:color w:val="000000" w:themeColor="text1"/>
          <w:sz w:val="24"/>
          <w:szCs w:val="24"/>
          <w:lang w:val="en-US"/>
        </w:rPr>
        <w:t>Equity</w:t>
      </w:r>
    </w:p>
    <w:p w:rsidR="008F473F" w:rsidP="008F473F" w:rsidRDefault="00035501" w14:paraId="006D6ED6" w14:textId="77777777">
      <w:pPr>
        <w:ind w:left="1416"/>
        <w:rPr>
          <w:rFonts w:ascii="Calibri" w:hAnsi="Calibri" w:cs="Calibri"/>
          <w:color w:val="000000" w:themeColor="text1"/>
          <w:lang w:val="en-US"/>
        </w:rPr>
      </w:pPr>
      <w:r w:rsidRPr="008109C3">
        <w:rPr>
          <w:rFonts w:ascii="Calibri" w:hAnsi="Calibri" w:cs="Calibri"/>
          <w:color w:val="000000" w:themeColor="text1"/>
          <w:lang w:val="en-US"/>
        </w:rPr>
        <w:t xml:space="preserve">Social, political, and environmental inequities are at the root of health inequalities between populations. The D4H Global Grants Program supports projects focused on </w:t>
      </w:r>
      <w:r w:rsidRPr="008109C3">
        <w:rPr>
          <w:rFonts w:ascii="Calibri" w:hAnsi="Calibri" w:cs="Calibri"/>
          <w:color w:val="000000" w:themeColor="text1"/>
          <w:lang w:val="en-US"/>
        </w:rPr>
        <w:lastRenderedPageBreak/>
        <w:t>promoting equity and reducing health disparities.</w:t>
      </w:r>
      <w:r w:rsidRPr="008109C3" w:rsidR="0726AA7C">
        <w:rPr>
          <w:rFonts w:ascii="Calibri" w:hAnsi="Calibri" w:cs="Calibri"/>
          <w:color w:val="000000" w:themeColor="text1"/>
          <w:lang w:val="en-US"/>
        </w:rPr>
        <w:t xml:space="preserve"> The equity lens for proposals could focus on geography, gender, ethnicity, </w:t>
      </w:r>
      <w:proofErr w:type="gramStart"/>
      <w:r w:rsidRPr="008109C3" w:rsidR="0726AA7C">
        <w:rPr>
          <w:rFonts w:ascii="Calibri" w:hAnsi="Calibri" w:cs="Calibri"/>
          <w:color w:val="000000" w:themeColor="text1"/>
          <w:lang w:val="en-US"/>
        </w:rPr>
        <w:t>ability</w:t>
      </w:r>
      <w:proofErr w:type="gramEnd"/>
      <w:r w:rsidRPr="008109C3" w:rsidR="0726AA7C">
        <w:rPr>
          <w:rFonts w:ascii="Calibri" w:hAnsi="Calibri" w:cs="Calibri"/>
          <w:color w:val="000000" w:themeColor="text1"/>
          <w:lang w:val="en-US"/>
        </w:rPr>
        <w:t xml:space="preserve"> or other population characteristics. </w:t>
      </w:r>
    </w:p>
    <w:p w:rsidRPr="008109C3" w:rsidR="009A259B" w:rsidP="008109C3" w:rsidRDefault="008F473F" w14:paraId="29331DDC" w14:textId="7CCF234A">
      <w:pPr>
        <w:pStyle w:val="ListParagraph"/>
        <w:numPr>
          <w:ilvl w:val="1"/>
          <w:numId w:val="4"/>
        </w:numPr>
        <w:rPr>
          <w:rFonts w:ascii="Calibri" w:hAnsi="Calibri" w:cs="Calibri"/>
          <w:b/>
          <w:bCs/>
          <w:color w:val="000000" w:themeColor="text1"/>
          <w:sz w:val="24"/>
          <w:szCs w:val="24"/>
          <w:lang w:val="en-US"/>
        </w:rPr>
      </w:pPr>
      <w:r w:rsidRPr="008109C3">
        <w:rPr>
          <w:rFonts w:ascii="Calibri" w:hAnsi="Calibri" w:cs="Calibri"/>
          <w:b/>
          <w:bCs/>
          <w:color w:val="000000" w:themeColor="text1"/>
          <w:sz w:val="24"/>
          <w:szCs w:val="24"/>
          <w:lang w:val="en-US"/>
        </w:rPr>
        <w:t xml:space="preserve">Data for </w:t>
      </w:r>
      <w:r w:rsidRPr="008109C3" w:rsidR="63E8FC8A">
        <w:rPr>
          <w:rFonts w:ascii="Calibri" w:hAnsi="Calibri" w:cs="Calibri"/>
          <w:b/>
          <w:bCs/>
          <w:color w:val="000000" w:themeColor="text1"/>
          <w:sz w:val="24"/>
          <w:szCs w:val="24"/>
          <w:lang w:val="en-US"/>
        </w:rPr>
        <w:t>COVID-19 Response</w:t>
      </w:r>
    </w:p>
    <w:p w:rsidR="00D41EB4" w:rsidP="008109C3" w:rsidRDefault="00E4707C" w14:paraId="28B00A7C" w14:textId="2E2F30B9">
      <w:pPr>
        <w:ind w:left="1416"/>
        <w:rPr>
          <w:rFonts w:ascii="Calibri" w:hAnsi="Calibri" w:cs="Calibri"/>
          <w:color w:val="000000" w:themeColor="text1"/>
          <w:lang w:val="en-US"/>
        </w:rPr>
      </w:pPr>
      <w:r>
        <w:rPr>
          <w:rFonts w:ascii="Calibri" w:hAnsi="Calibri" w:cs="Calibri"/>
          <w:color w:val="000000" w:themeColor="text1"/>
          <w:lang w:val="en-US"/>
        </w:rPr>
        <w:t>As countries continue to respond to the pandemic, p</w:t>
      </w:r>
      <w:r w:rsidRPr="00993043" w:rsidR="003F4FED">
        <w:rPr>
          <w:rFonts w:ascii="Calibri" w:hAnsi="Calibri" w:cs="Calibri"/>
          <w:color w:val="000000" w:themeColor="text1"/>
          <w:lang w:val="en-US"/>
        </w:rPr>
        <w:t xml:space="preserve">rojects that </w:t>
      </w:r>
      <w:r w:rsidRPr="00993043" w:rsidR="00810E6E">
        <w:rPr>
          <w:rFonts w:ascii="Calibri" w:hAnsi="Calibri" w:cs="Calibri"/>
          <w:color w:val="000000" w:themeColor="text1"/>
          <w:lang w:val="en-US"/>
        </w:rPr>
        <w:t>focus on</w:t>
      </w:r>
      <w:r w:rsidRPr="00993043" w:rsidR="00315693">
        <w:rPr>
          <w:rFonts w:ascii="Calibri" w:hAnsi="Calibri" w:cs="Calibri"/>
          <w:color w:val="000000" w:themeColor="text1"/>
          <w:lang w:val="en-US"/>
        </w:rPr>
        <w:t xml:space="preserve"> </w:t>
      </w:r>
      <w:r>
        <w:rPr>
          <w:rFonts w:ascii="Calibri" w:hAnsi="Calibri" w:cs="Calibri"/>
          <w:color w:val="000000" w:themeColor="text1"/>
          <w:lang w:val="en-US"/>
        </w:rPr>
        <w:t xml:space="preserve">data use for </w:t>
      </w:r>
      <w:r w:rsidRPr="00993043" w:rsidR="003F4FED">
        <w:rPr>
          <w:rFonts w:ascii="Calibri" w:hAnsi="Calibri" w:cs="Calibri"/>
          <w:color w:val="000000" w:themeColor="text1"/>
          <w:lang w:val="en-US"/>
        </w:rPr>
        <w:t xml:space="preserve">COVID-19 </w:t>
      </w:r>
      <w:r>
        <w:rPr>
          <w:rFonts w:ascii="Calibri" w:hAnsi="Calibri" w:cs="Calibri"/>
          <w:color w:val="000000" w:themeColor="text1"/>
          <w:lang w:val="en-US"/>
        </w:rPr>
        <w:t xml:space="preserve">response </w:t>
      </w:r>
      <w:r w:rsidRPr="00993043" w:rsidR="003F4FED">
        <w:rPr>
          <w:rFonts w:ascii="Calibri" w:hAnsi="Calibri" w:cs="Calibri"/>
          <w:color w:val="000000" w:themeColor="text1"/>
          <w:lang w:val="en-US"/>
        </w:rPr>
        <w:t xml:space="preserve">are also eligible </w:t>
      </w:r>
      <w:r w:rsidRPr="00993043" w:rsidR="00810E6E">
        <w:rPr>
          <w:rFonts w:ascii="Calibri" w:hAnsi="Calibri" w:cs="Calibri"/>
          <w:color w:val="000000" w:themeColor="text1"/>
          <w:lang w:val="en-US"/>
        </w:rPr>
        <w:t>for consideration</w:t>
      </w:r>
      <w:r>
        <w:rPr>
          <w:rFonts w:ascii="Calibri" w:hAnsi="Calibri" w:cs="Calibri"/>
          <w:color w:val="000000" w:themeColor="text1"/>
          <w:lang w:val="en-US"/>
        </w:rPr>
        <w:t>; this includes data projects to support vaccination</w:t>
      </w:r>
      <w:r w:rsidR="00D7166B">
        <w:rPr>
          <w:rFonts w:ascii="Calibri" w:hAnsi="Calibri" w:cs="Calibri"/>
          <w:color w:val="000000" w:themeColor="text1"/>
          <w:lang w:val="en-US"/>
        </w:rPr>
        <w:t xml:space="preserve">. </w:t>
      </w:r>
    </w:p>
    <w:p w:rsidR="00810346" w:rsidP="00315693" w:rsidRDefault="00810346" w14:paraId="69A9EBAE" w14:textId="77777777">
      <w:pPr>
        <w:rPr>
          <w:rFonts w:ascii="Calibri" w:hAnsi="Calibri" w:cs="Calibri"/>
          <w:color w:val="000000" w:themeColor="text1"/>
          <w:lang w:val="en-US"/>
        </w:rPr>
      </w:pPr>
    </w:p>
    <w:p w:rsidRPr="00993043" w:rsidR="0056268A" w:rsidP="00315693" w:rsidRDefault="0726AA7C" w14:paraId="6A91C0BE" w14:textId="7F2B2615">
      <w:pPr>
        <w:rPr>
          <w:rFonts w:ascii="Calibri" w:hAnsi="Calibri" w:cs="Calibri"/>
          <w:color w:val="000000" w:themeColor="text1"/>
          <w:lang w:val="en-US"/>
        </w:rPr>
      </w:pPr>
      <w:r w:rsidRPr="05121A4B" w:rsidR="05121A4B">
        <w:rPr>
          <w:rFonts w:ascii="Calibri" w:hAnsi="Calibri" w:cs="Calibri"/>
          <w:color w:val="000000" w:themeColor="text1" w:themeTint="FF" w:themeShade="FF"/>
          <w:lang w:val="en-US"/>
        </w:rPr>
        <w:t>The GGP will support grant periods of up to 12 months with a maximum award amount of $150,000; shorter-term grants with lower award amounts are also encouraged. Sustainability measures must be incorporated into the project design. Applicants should plan to start their projects on or about April 1, 2022.</w:t>
      </w:r>
    </w:p>
    <w:p w:rsidRPr="00993043" w:rsidR="00315693" w:rsidP="00315693" w:rsidRDefault="00315693" w14:paraId="50BD4E71" w14:textId="17F7A863">
      <w:pPr>
        <w:spacing w:after="0" w:line="240" w:lineRule="auto"/>
        <w:rPr>
          <w:rFonts w:ascii="Calibri" w:hAnsi="Calibri" w:cs="Calibri"/>
          <w:color w:val="000000" w:themeColor="text1"/>
          <w:lang w:val="en-US"/>
        </w:rPr>
      </w:pPr>
      <w:r w:rsidRPr="00993043">
        <w:rPr>
          <w:rFonts w:ascii="Calibri" w:hAnsi="Calibri" w:cs="Calibri"/>
          <w:color w:val="000000" w:themeColor="text1"/>
          <w:lang w:val="en-US"/>
        </w:rPr>
        <w:t xml:space="preserve">The Data for Health Initiative, supported by Bloomberg Philanthropies and the Government of Australia, supports </w:t>
      </w:r>
      <w:r w:rsidRPr="00993043" w:rsidR="009B46BA">
        <w:rPr>
          <w:rFonts w:ascii="Calibri" w:hAnsi="Calibri" w:cs="Calibri"/>
          <w:color w:val="000000" w:themeColor="text1"/>
          <w:lang w:val="en-US"/>
        </w:rPr>
        <w:t>governments in</w:t>
      </w:r>
      <w:r w:rsidRPr="00993043">
        <w:rPr>
          <w:rFonts w:ascii="Calibri" w:hAnsi="Calibri" w:cs="Calibri"/>
          <w:color w:val="000000" w:themeColor="text1"/>
          <w:lang w:val="en-US"/>
        </w:rPr>
        <w:t xml:space="preserve"> low- and middle-income countries worldwide to improve public health data systems. The Initiative focuses on four major areas: civil registration and vital statistics; non-communicable disease risk factor surveys; </w:t>
      </w:r>
      <w:r w:rsidRPr="00993043" w:rsidR="009B46BA">
        <w:rPr>
          <w:rFonts w:ascii="Calibri" w:hAnsi="Calibri" w:cs="Calibri"/>
          <w:color w:val="000000" w:themeColor="text1"/>
          <w:lang w:val="en-US"/>
        </w:rPr>
        <w:t xml:space="preserve">cancer registries; and </w:t>
      </w:r>
      <w:r w:rsidRPr="00993043">
        <w:rPr>
          <w:rFonts w:ascii="Calibri" w:hAnsi="Calibri" w:cs="Calibri"/>
          <w:color w:val="000000" w:themeColor="text1"/>
          <w:lang w:val="en-US"/>
        </w:rPr>
        <w:t>data use for policy making. Collaborating institutions are: </w:t>
      </w:r>
      <w:hyperlink w:tgtFrame="_blank" w:history="1" r:id="rId9">
        <w:r w:rsidRPr="00993043">
          <w:rPr>
            <w:rFonts w:ascii="Calibri" w:hAnsi="Calibri" w:cs="Calibri"/>
            <w:color w:val="000000" w:themeColor="text1"/>
            <w:lang w:val="en-US"/>
          </w:rPr>
          <w:t>Vital Strategies</w:t>
        </w:r>
      </w:hyperlink>
      <w:r w:rsidRPr="00993043">
        <w:rPr>
          <w:rFonts w:ascii="Calibri" w:hAnsi="Calibri" w:cs="Calibri"/>
          <w:color w:val="000000" w:themeColor="text1"/>
          <w:lang w:val="en-US"/>
        </w:rPr>
        <w:t>, </w:t>
      </w:r>
      <w:hyperlink w:tgtFrame="_blank" w:history="1" r:id="rId10">
        <w:r w:rsidRPr="00993043">
          <w:rPr>
            <w:rFonts w:ascii="Calibri" w:hAnsi="Calibri" w:cs="Calibri"/>
            <w:color w:val="000000" w:themeColor="text1"/>
            <w:lang w:val="en-US"/>
          </w:rPr>
          <w:t>U.S. Centers for Disease Control and Prevention and CDC Foundation</w:t>
        </w:r>
      </w:hyperlink>
      <w:r w:rsidRPr="00993043">
        <w:rPr>
          <w:rFonts w:ascii="Calibri" w:hAnsi="Calibri" w:cs="Calibri"/>
          <w:color w:val="000000" w:themeColor="text1"/>
          <w:lang w:val="en-US"/>
        </w:rPr>
        <w:t>, </w:t>
      </w:r>
      <w:hyperlink w:tgtFrame="_blank" w:history="1" r:id="rId11">
        <w:r w:rsidRPr="00993043">
          <w:rPr>
            <w:rFonts w:ascii="Calibri" w:hAnsi="Calibri" w:cs="Calibri"/>
            <w:color w:val="000000" w:themeColor="text1"/>
            <w:lang w:val="en-US"/>
          </w:rPr>
          <w:t>Global Health Advocacy Incubator</w:t>
        </w:r>
      </w:hyperlink>
      <w:r w:rsidRPr="00993043">
        <w:rPr>
          <w:rFonts w:ascii="Calibri" w:hAnsi="Calibri" w:cs="Calibri"/>
          <w:color w:val="000000" w:themeColor="text1"/>
          <w:lang w:val="en-US"/>
        </w:rPr>
        <w:t>, </w:t>
      </w:r>
      <w:hyperlink w:tgtFrame="_blank" w:history="1" r:id="rId12">
        <w:r w:rsidRPr="00993043">
          <w:rPr>
            <w:rFonts w:ascii="Calibri" w:hAnsi="Calibri" w:cs="Calibri"/>
            <w:color w:val="000000" w:themeColor="text1"/>
            <w:lang w:val="en-US"/>
          </w:rPr>
          <w:t>the Johns Hopkins Bloomberg School of Public Health</w:t>
        </w:r>
      </w:hyperlink>
      <w:r w:rsidRPr="00993043">
        <w:rPr>
          <w:rFonts w:ascii="Calibri" w:hAnsi="Calibri" w:cs="Calibri"/>
          <w:color w:val="000000" w:themeColor="text1"/>
          <w:lang w:val="en-US"/>
        </w:rPr>
        <w:t>,  and the </w:t>
      </w:r>
      <w:hyperlink w:tgtFrame="_blank" w:history="1" r:id="rId13">
        <w:r w:rsidRPr="00993043">
          <w:rPr>
            <w:rFonts w:ascii="Calibri" w:hAnsi="Calibri" w:cs="Calibri"/>
            <w:color w:val="000000" w:themeColor="text1"/>
            <w:lang w:val="en-US"/>
          </w:rPr>
          <w:t>World Health Organization</w:t>
        </w:r>
      </w:hyperlink>
      <w:r w:rsidRPr="00993043">
        <w:rPr>
          <w:rFonts w:ascii="Calibri" w:hAnsi="Calibri" w:cs="Calibri"/>
          <w:color w:val="000000" w:themeColor="text1"/>
          <w:lang w:val="en-US"/>
        </w:rPr>
        <w:t>.</w:t>
      </w:r>
    </w:p>
    <w:p w:rsidR="00315693" w:rsidP="001E460A" w:rsidRDefault="00315693" w14:paraId="20490AB6" w14:textId="77777777">
      <w:pPr>
        <w:spacing w:after="0" w:line="360" w:lineRule="auto"/>
        <w:contextualSpacing/>
        <w:jc w:val="both"/>
        <w:rPr>
          <w:rFonts w:ascii="Arial" w:hAnsi="Arial" w:eastAsia="Calibri" w:cs="Arial"/>
          <w:color w:val="000000"/>
          <w:lang w:val="en-US"/>
        </w:rPr>
      </w:pPr>
    </w:p>
    <w:p w:rsidRPr="00993043" w:rsidR="003B5C50" w:rsidP="003B5C50" w:rsidRDefault="00315693" w14:paraId="7750D123" w14:textId="6B62D11B">
      <w:pPr>
        <w:rPr>
          <w:rFonts w:ascii="Calibri" w:hAnsi="Calibri" w:cs="Calibri"/>
          <w:color w:val="000000" w:themeColor="text1"/>
          <w:lang w:val="en-US"/>
        </w:rPr>
      </w:pPr>
      <w:r w:rsidRPr="00993043">
        <w:rPr>
          <w:rFonts w:ascii="Calibri" w:hAnsi="Calibri" w:cs="Calibri"/>
          <w:color w:val="000000" w:themeColor="text1"/>
          <w:lang w:val="en-US"/>
        </w:rPr>
        <w:t xml:space="preserve">The Global Grants Program </w:t>
      </w:r>
      <w:r w:rsidRPr="00993043" w:rsidR="003B5C50">
        <w:rPr>
          <w:rFonts w:ascii="Calibri" w:hAnsi="Calibri" w:cs="Calibri"/>
          <w:color w:val="000000" w:themeColor="text1"/>
          <w:lang w:val="en-US"/>
        </w:rPr>
        <w:t xml:space="preserve">(GGP) </w:t>
      </w:r>
      <w:r w:rsidRPr="00993043">
        <w:rPr>
          <w:rFonts w:ascii="Calibri" w:hAnsi="Calibri" w:cs="Calibri"/>
          <w:color w:val="000000" w:themeColor="text1"/>
          <w:lang w:val="en-US"/>
        </w:rPr>
        <w:t>was developed to increase the reach of the Data for Health Initiativ</w:t>
      </w:r>
      <w:r w:rsidRPr="00993043" w:rsidR="003B5C50">
        <w:rPr>
          <w:rFonts w:ascii="Calibri" w:hAnsi="Calibri" w:cs="Calibri"/>
          <w:color w:val="000000" w:themeColor="text1"/>
          <w:lang w:val="en-US"/>
        </w:rPr>
        <w:t>e</w:t>
      </w:r>
      <w:r w:rsidRPr="00993043">
        <w:rPr>
          <w:rFonts w:ascii="Calibri" w:hAnsi="Calibri" w:cs="Calibri"/>
          <w:color w:val="000000" w:themeColor="text1"/>
          <w:lang w:val="en-US"/>
        </w:rPr>
        <w:t xml:space="preserve">. </w:t>
      </w:r>
      <w:r w:rsidRPr="00993043" w:rsidR="005A50D4">
        <w:rPr>
          <w:rFonts w:ascii="Calibri" w:hAnsi="Calibri" w:cs="Calibri"/>
          <w:color w:val="000000" w:themeColor="text1"/>
          <w:lang w:val="en-US"/>
        </w:rPr>
        <w:t xml:space="preserve">Since its inaugural grant in March 2019, the GGPs </w:t>
      </w:r>
      <w:r w:rsidRPr="00993043">
        <w:rPr>
          <w:rFonts w:ascii="Calibri" w:hAnsi="Calibri" w:cs="Calibri"/>
          <w:color w:val="000000" w:themeColor="text1"/>
          <w:lang w:val="en-US"/>
        </w:rPr>
        <w:t>four</w:t>
      </w:r>
      <w:r w:rsidRPr="00993043" w:rsidR="005A50D4">
        <w:rPr>
          <w:rFonts w:ascii="Calibri" w:hAnsi="Calibri" w:cs="Calibri"/>
          <w:color w:val="000000" w:themeColor="text1"/>
          <w:lang w:val="en-US"/>
        </w:rPr>
        <w:t xml:space="preserve"> rounds of funding have supported governments in improving public health through addressing information gaps and improving data processes, lea</w:t>
      </w:r>
      <w:r w:rsidRPr="00993043" w:rsidR="009B46BA">
        <w:rPr>
          <w:rFonts w:ascii="Calibri" w:hAnsi="Calibri" w:cs="Calibri"/>
          <w:color w:val="000000" w:themeColor="text1"/>
          <w:lang w:val="en-US"/>
        </w:rPr>
        <w:t>ding to</w:t>
      </w:r>
      <w:r w:rsidRPr="00993043" w:rsidR="005A50D4">
        <w:rPr>
          <w:rFonts w:ascii="Calibri" w:hAnsi="Calibri" w:cs="Calibri"/>
          <w:color w:val="000000" w:themeColor="text1"/>
          <w:lang w:val="en-US"/>
        </w:rPr>
        <w:t xml:space="preserve"> better</w:t>
      </w:r>
      <w:r w:rsidRPr="00993043" w:rsidR="009B46BA">
        <w:rPr>
          <w:rFonts w:ascii="Calibri" w:hAnsi="Calibri" w:cs="Calibri"/>
          <w:color w:val="000000" w:themeColor="text1"/>
          <w:lang w:val="en-US"/>
        </w:rPr>
        <w:t>-</w:t>
      </w:r>
      <w:r w:rsidRPr="00993043" w:rsidR="005A50D4">
        <w:rPr>
          <w:rFonts w:ascii="Calibri" w:hAnsi="Calibri" w:cs="Calibri"/>
          <w:color w:val="000000" w:themeColor="text1"/>
          <w:lang w:val="en-US"/>
        </w:rPr>
        <w:t xml:space="preserve">informed public health policies and investments. The Program currently supports projects in the following countries: </w:t>
      </w:r>
      <w:r w:rsidR="00FC440B">
        <w:rPr>
          <w:rFonts w:ascii="Calibri" w:hAnsi="Calibri" w:cs="Calibri"/>
          <w:color w:val="000000" w:themeColor="text1"/>
          <w:lang w:val="en-US"/>
        </w:rPr>
        <w:t xml:space="preserve">Angola, </w:t>
      </w:r>
      <w:r w:rsidRPr="00FA632F" w:rsidR="005A50D4">
        <w:rPr>
          <w:rFonts w:ascii="Calibri" w:hAnsi="Calibri" w:cs="Calibri"/>
          <w:color w:val="000000" w:themeColor="text1"/>
          <w:lang w:val="en-US"/>
        </w:rPr>
        <w:t>Brazil,</w:t>
      </w:r>
      <w:r w:rsidRPr="00FA632F" w:rsidR="00C46595">
        <w:rPr>
          <w:rFonts w:ascii="Calibri" w:hAnsi="Calibri" w:cs="Calibri"/>
          <w:color w:val="000000" w:themeColor="text1"/>
          <w:lang w:val="en-US"/>
        </w:rPr>
        <w:t xml:space="preserve"> Burkina Faso,</w:t>
      </w:r>
      <w:r w:rsidRPr="00FA632F" w:rsidR="005A50D4">
        <w:rPr>
          <w:rFonts w:ascii="Calibri" w:hAnsi="Calibri" w:cs="Calibri"/>
          <w:color w:val="000000" w:themeColor="text1"/>
          <w:lang w:val="en-US"/>
        </w:rPr>
        <w:t xml:space="preserve"> </w:t>
      </w:r>
      <w:r w:rsidRPr="00FA632F" w:rsidR="00FC440B">
        <w:rPr>
          <w:rFonts w:ascii="Calibri" w:hAnsi="Calibri" w:cs="Calibri"/>
          <w:color w:val="000000" w:themeColor="text1"/>
          <w:lang w:val="en-US"/>
        </w:rPr>
        <w:t xml:space="preserve">Cape Verde, </w:t>
      </w:r>
      <w:r w:rsidRPr="00FA632F" w:rsidR="005A50D4">
        <w:rPr>
          <w:rFonts w:ascii="Calibri" w:hAnsi="Calibri" w:cs="Calibri"/>
          <w:color w:val="000000" w:themeColor="text1"/>
          <w:lang w:val="en-US"/>
        </w:rPr>
        <w:t>Cote d'Ivoire, Ecuador, Egypt,</w:t>
      </w:r>
      <w:r w:rsidRPr="00FA632F" w:rsidR="00FA632F">
        <w:rPr>
          <w:rFonts w:ascii="Calibri" w:hAnsi="Calibri" w:cs="Calibri"/>
          <w:color w:val="000000" w:themeColor="text1"/>
          <w:lang w:val="en-US"/>
        </w:rPr>
        <w:t xml:space="preserve"> El Salvador,</w:t>
      </w:r>
      <w:r w:rsidRPr="00FA632F" w:rsidR="005A50D4">
        <w:rPr>
          <w:rFonts w:ascii="Calibri" w:hAnsi="Calibri" w:cs="Calibri"/>
          <w:color w:val="000000" w:themeColor="text1"/>
          <w:lang w:val="en-US"/>
        </w:rPr>
        <w:t xml:space="preserve"> </w:t>
      </w:r>
      <w:r w:rsidRPr="00FA632F" w:rsidR="00C46595">
        <w:rPr>
          <w:rFonts w:ascii="Calibri" w:hAnsi="Calibri" w:cs="Calibri"/>
          <w:color w:val="000000" w:themeColor="text1"/>
          <w:lang w:val="en-US"/>
        </w:rPr>
        <w:t xml:space="preserve">Fiji, </w:t>
      </w:r>
      <w:r w:rsidRPr="00FA632F" w:rsidR="005A50D4">
        <w:rPr>
          <w:rFonts w:ascii="Calibri" w:hAnsi="Calibri" w:cs="Calibri"/>
          <w:color w:val="000000" w:themeColor="text1"/>
          <w:lang w:val="en-US"/>
        </w:rPr>
        <w:t xml:space="preserve">Ghana, </w:t>
      </w:r>
      <w:r w:rsidRPr="00FA632F" w:rsidR="00C46595">
        <w:rPr>
          <w:rFonts w:ascii="Calibri" w:hAnsi="Calibri" w:cs="Calibri"/>
          <w:color w:val="000000" w:themeColor="text1"/>
          <w:lang w:val="en-US"/>
        </w:rPr>
        <w:t xml:space="preserve">Guinea-Bissau, </w:t>
      </w:r>
      <w:r w:rsidRPr="00FA632F" w:rsidR="005A50D4">
        <w:rPr>
          <w:rFonts w:ascii="Calibri" w:hAnsi="Calibri" w:cs="Calibri"/>
          <w:color w:val="000000" w:themeColor="text1"/>
          <w:lang w:val="en-US"/>
        </w:rPr>
        <w:t xml:space="preserve">Kenya, Lesotho, </w:t>
      </w:r>
      <w:r w:rsidRPr="00FA632F" w:rsidR="00FC440B">
        <w:rPr>
          <w:rFonts w:ascii="Calibri" w:hAnsi="Calibri" w:cs="Calibri"/>
          <w:color w:val="000000" w:themeColor="text1"/>
          <w:lang w:val="en-US"/>
        </w:rPr>
        <w:t xml:space="preserve">Liberia, </w:t>
      </w:r>
      <w:r w:rsidRPr="00FA632F" w:rsidR="005A50D4">
        <w:rPr>
          <w:rFonts w:ascii="Calibri" w:hAnsi="Calibri" w:cs="Calibri"/>
          <w:color w:val="000000" w:themeColor="text1"/>
          <w:lang w:val="en-US"/>
        </w:rPr>
        <w:t xml:space="preserve">Malawi, </w:t>
      </w:r>
      <w:r w:rsidRPr="00FA632F" w:rsidR="00FC440B">
        <w:rPr>
          <w:rFonts w:ascii="Calibri" w:hAnsi="Calibri" w:cs="Calibri"/>
          <w:color w:val="000000" w:themeColor="text1"/>
          <w:lang w:val="en-US"/>
        </w:rPr>
        <w:t xml:space="preserve">Maldives, </w:t>
      </w:r>
      <w:r w:rsidRPr="00FA632F" w:rsidR="00C46595">
        <w:rPr>
          <w:rFonts w:ascii="Calibri" w:hAnsi="Calibri" w:cs="Calibri"/>
          <w:color w:val="000000" w:themeColor="text1"/>
          <w:lang w:val="en-US"/>
        </w:rPr>
        <w:t xml:space="preserve">Mexico, </w:t>
      </w:r>
      <w:r w:rsidRPr="00FA632F" w:rsidR="00FC440B">
        <w:rPr>
          <w:rFonts w:ascii="Calibri" w:hAnsi="Calibri" w:cs="Calibri"/>
          <w:color w:val="000000" w:themeColor="text1"/>
          <w:lang w:val="en-US"/>
        </w:rPr>
        <w:t xml:space="preserve">Namibia, Nigeria, </w:t>
      </w:r>
      <w:r w:rsidRPr="00FA632F" w:rsidR="005A50D4">
        <w:rPr>
          <w:rFonts w:ascii="Calibri" w:hAnsi="Calibri" w:cs="Calibri"/>
          <w:color w:val="000000" w:themeColor="text1"/>
          <w:lang w:val="en-US"/>
        </w:rPr>
        <w:t xml:space="preserve">Pakistan, Paraguay, Peru, </w:t>
      </w:r>
      <w:r w:rsidRPr="00FA632F" w:rsidR="00FC440B">
        <w:rPr>
          <w:rFonts w:ascii="Calibri" w:hAnsi="Calibri" w:cs="Calibri"/>
          <w:color w:val="000000" w:themeColor="text1"/>
          <w:lang w:val="en-US"/>
        </w:rPr>
        <w:t>Sierra, Leo</w:t>
      </w:r>
      <w:r w:rsidRPr="00FA632F" w:rsidR="00FA632F">
        <w:rPr>
          <w:rFonts w:ascii="Calibri" w:hAnsi="Calibri" w:cs="Calibri"/>
          <w:color w:val="000000" w:themeColor="text1"/>
          <w:lang w:val="en-US"/>
        </w:rPr>
        <w:t xml:space="preserve">ne, </w:t>
      </w:r>
      <w:r w:rsidRPr="00FA632F" w:rsidR="005A50D4">
        <w:rPr>
          <w:rFonts w:ascii="Calibri" w:hAnsi="Calibri" w:cs="Calibri"/>
          <w:color w:val="000000" w:themeColor="text1"/>
          <w:lang w:val="en-US"/>
        </w:rPr>
        <w:t>The Gambia, and Tunisia</w:t>
      </w:r>
      <w:r w:rsidRPr="00FA632F" w:rsidR="00FC440B">
        <w:rPr>
          <w:rFonts w:ascii="Calibri" w:hAnsi="Calibri" w:cs="Calibri"/>
          <w:color w:val="000000" w:themeColor="text1"/>
          <w:lang w:val="en-US"/>
        </w:rPr>
        <w:t>, Vanuatu</w:t>
      </w:r>
      <w:r w:rsidRPr="00FA632F" w:rsidR="005A50D4">
        <w:rPr>
          <w:rFonts w:ascii="Calibri" w:hAnsi="Calibri" w:cs="Calibri"/>
          <w:color w:val="000000" w:themeColor="text1"/>
          <w:lang w:val="en-US"/>
        </w:rPr>
        <w:t>.</w:t>
      </w:r>
    </w:p>
    <w:p w:rsidRPr="00B54868" w:rsidR="005A50D4" w:rsidP="00B54868" w:rsidRDefault="005A50D4" w14:paraId="460B4937" w14:textId="3FA74812">
      <w:pPr>
        <w:rPr>
          <w:rFonts w:ascii="Calibri" w:hAnsi="Calibri" w:cs="Calibri"/>
          <w:color w:val="000000" w:themeColor="text1"/>
          <w:lang w:val="en-US"/>
        </w:rPr>
      </w:pPr>
      <w:r w:rsidRPr="00993043">
        <w:rPr>
          <w:rFonts w:ascii="Calibri" w:hAnsi="Calibri" w:cs="Calibri"/>
          <w:color w:val="000000" w:themeColor="text1"/>
          <w:lang w:val="en-US"/>
        </w:rPr>
        <w:t>For more information on eligibility, priority areas</w:t>
      </w:r>
      <w:r w:rsidR="008030E3">
        <w:rPr>
          <w:rFonts w:ascii="Calibri" w:hAnsi="Calibri" w:cs="Calibri"/>
          <w:color w:val="000000" w:themeColor="text1"/>
          <w:lang w:val="en-US"/>
        </w:rPr>
        <w:t xml:space="preserve">, examples of previously funded projects </w:t>
      </w:r>
      <w:r w:rsidRPr="00993043">
        <w:rPr>
          <w:rFonts w:ascii="Calibri" w:hAnsi="Calibri" w:cs="Calibri"/>
          <w:color w:val="000000" w:themeColor="text1"/>
          <w:lang w:val="en-US"/>
        </w:rPr>
        <w:t xml:space="preserve">and how to apply, visit: </w:t>
      </w:r>
      <w:hyperlink w:history="1" r:id="rId14">
        <w:r w:rsidRPr="00993043">
          <w:rPr>
            <w:rStyle w:val="Hyperlink"/>
            <w:rFonts w:ascii="Calibri" w:hAnsi="Calibri" w:cs="Calibri"/>
            <w:lang w:val="en-US"/>
          </w:rPr>
          <w:t>https://www.d4hglobalgrantsprogram.org/process</w:t>
        </w:r>
      </w:hyperlink>
      <w:r w:rsidRPr="00993043">
        <w:rPr>
          <w:rFonts w:ascii="Calibri" w:hAnsi="Calibri" w:cs="Calibri"/>
          <w:color w:val="000000" w:themeColor="text1"/>
          <w:lang w:val="en-US"/>
        </w:rPr>
        <w:t xml:space="preserve"> </w:t>
      </w:r>
    </w:p>
    <w:sectPr w:rsidRPr="00B54868" w:rsidR="005A50D4" w:rsidSect="00A912D4">
      <w:headerReference w:type="default" r:id="rId15"/>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3AD8" w:rsidP="0056268A" w:rsidRDefault="00D63AD8" w14:paraId="5476AA0E" w14:textId="77777777">
      <w:pPr>
        <w:spacing w:after="0" w:line="240" w:lineRule="auto"/>
      </w:pPr>
      <w:r>
        <w:separator/>
      </w:r>
    </w:p>
  </w:endnote>
  <w:endnote w:type="continuationSeparator" w:id="0">
    <w:p w:rsidR="00D63AD8" w:rsidP="0056268A" w:rsidRDefault="00D63AD8" w14:paraId="6ADE72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53ACD" w:rsidR="00D20916" w:rsidP="00D20916" w:rsidRDefault="00D20916" w14:paraId="416ED3C3" w14:textId="77777777">
    <w:pPr>
      <w:pStyle w:val="Header"/>
      <w:rPr>
        <w:b/>
        <w:bCs/>
        <w:sz w:val="20"/>
      </w:rPr>
    </w:pPr>
    <w:r>
      <w:rPr>
        <w:b/>
        <w:bCs/>
        <w:noProof/>
      </w:rPr>
      <w:drawing>
        <wp:anchor distT="0" distB="0" distL="114300" distR="114300" simplePos="0" relativeHeight="251661312" behindDoc="0" locked="0" layoutInCell="1" allowOverlap="1" wp14:anchorId="53BEA958" wp14:editId="54737613">
          <wp:simplePos x="0" y="0"/>
          <wp:positionH relativeFrom="column">
            <wp:posOffset>-142875</wp:posOffset>
          </wp:positionH>
          <wp:positionV relativeFrom="paragraph">
            <wp:posOffset>1905</wp:posOffset>
          </wp:positionV>
          <wp:extent cx="6238875" cy="62420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38875" cy="624205"/>
                  </a:xfrm>
                  <a:prstGeom prst="rect">
                    <a:avLst/>
                  </a:prstGeom>
                </pic:spPr>
              </pic:pic>
            </a:graphicData>
          </a:graphic>
          <wp14:sizeRelH relativeFrom="margin">
            <wp14:pctWidth>0</wp14:pctWidth>
          </wp14:sizeRelH>
          <wp14:sizeRelV relativeFrom="margin">
            <wp14:pctHeight>0</wp14:pctHeight>
          </wp14:sizeRelV>
        </wp:anchor>
      </w:drawing>
    </w:r>
  </w:p>
  <w:p w:rsidR="00D20916" w:rsidRDefault="00D20916" w14:paraId="72AF693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3AD8" w:rsidP="0056268A" w:rsidRDefault="00D63AD8" w14:paraId="2C23CCFE" w14:textId="77777777">
      <w:pPr>
        <w:spacing w:after="0" w:line="240" w:lineRule="auto"/>
      </w:pPr>
      <w:r>
        <w:separator/>
      </w:r>
    </w:p>
  </w:footnote>
  <w:footnote w:type="continuationSeparator" w:id="0">
    <w:p w:rsidR="00D63AD8" w:rsidP="0056268A" w:rsidRDefault="00D63AD8" w14:paraId="5106E61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6268A" w:rsidR="0056268A" w:rsidP="0056268A" w:rsidRDefault="0056268A" w14:paraId="0362EC29" w14:textId="77777777">
    <w:pPr>
      <w:tabs>
        <w:tab w:val="center" w:pos="4680"/>
        <w:tab w:val="right" w:pos="9360"/>
      </w:tabs>
      <w:spacing w:after="0" w:line="276" w:lineRule="auto"/>
      <w:jc w:val="both"/>
      <w:rPr>
        <w:rFonts w:ascii="Arial" w:hAnsi="Arial" w:eastAsia="Calibri" w:cs="Arial"/>
        <w:b/>
        <w:bCs/>
        <w:color w:val="D0CECE"/>
        <w:sz w:val="18"/>
        <w:szCs w:val="20"/>
        <w:lang w:val="en-US"/>
      </w:rPr>
    </w:pPr>
    <w:r w:rsidRPr="0056268A">
      <w:rPr>
        <w:rFonts w:ascii="Arial" w:hAnsi="Arial" w:eastAsia="Calibri" w:cs="Arial"/>
        <w:b/>
        <w:bCs/>
        <w:noProof/>
        <w:color w:val="0094CC"/>
        <w:sz w:val="16"/>
        <w:szCs w:val="16"/>
        <w:lang w:val="en-US"/>
      </w:rPr>
      <w:drawing>
        <wp:anchor distT="0" distB="0" distL="114300" distR="114300" simplePos="0" relativeHeight="251659264" behindDoc="0" locked="0" layoutInCell="1" allowOverlap="1" wp14:anchorId="0B306A83" wp14:editId="5B72CA67">
          <wp:simplePos x="0" y="0"/>
          <wp:positionH relativeFrom="column">
            <wp:posOffset>5836778</wp:posOffset>
          </wp:positionH>
          <wp:positionV relativeFrom="page">
            <wp:posOffset>457200</wp:posOffset>
          </wp:positionV>
          <wp:extent cx="555699" cy="113818"/>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5699" cy="113818"/>
                  </a:xfrm>
                  <a:prstGeom prst="rect">
                    <a:avLst/>
                  </a:prstGeom>
                </pic:spPr>
              </pic:pic>
            </a:graphicData>
          </a:graphic>
          <wp14:sizeRelH relativeFrom="page">
            <wp14:pctWidth>0</wp14:pctWidth>
          </wp14:sizeRelH>
          <wp14:sizeRelV relativeFrom="page">
            <wp14:pctHeight>0</wp14:pctHeight>
          </wp14:sizeRelV>
        </wp:anchor>
      </w:drawing>
    </w:r>
    <w:r w:rsidRPr="0056268A">
      <w:rPr>
        <w:rFonts w:ascii="Arial" w:hAnsi="Arial" w:eastAsia="Calibri" w:cs="Arial"/>
        <w:b/>
        <w:bCs/>
        <w:color w:val="0094CC"/>
        <w:sz w:val="18"/>
        <w:szCs w:val="20"/>
        <w:lang w:val="en-US"/>
      </w:rPr>
      <w:t xml:space="preserve">Global Grants Program </w:t>
    </w:r>
    <w:r w:rsidRPr="0056268A">
      <w:rPr>
        <w:rFonts w:ascii="Arial" w:hAnsi="Arial" w:eastAsia="Calibri" w:cs="Arial"/>
        <w:b/>
        <w:bCs/>
        <w:color w:val="88C8EE"/>
        <w:sz w:val="18"/>
        <w:szCs w:val="20"/>
        <w:lang w:val="en-US"/>
      </w:rPr>
      <w:t>· Data for Health Initiative</w:t>
    </w:r>
    <w:r w:rsidRPr="0056268A">
      <w:rPr>
        <w:rFonts w:ascii="Arial" w:hAnsi="Arial" w:eastAsia="Calibri" w:cs="Arial"/>
        <w:b/>
        <w:bCs/>
        <w:color w:val="88C8EE"/>
        <w:sz w:val="18"/>
        <w:szCs w:val="20"/>
        <w:lang w:val="en-US"/>
      </w:rPr>
      <w:tab/>
    </w:r>
  </w:p>
  <w:p w:rsidRPr="0056268A" w:rsidR="0056268A" w:rsidP="0056268A" w:rsidRDefault="0056268A" w14:paraId="5F639AA4" w14:textId="77777777">
    <w:pPr>
      <w:tabs>
        <w:tab w:val="center" w:pos="4680"/>
        <w:tab w:val="right" w:pos="9360"/>
      </w:tabs>
      <w:spacing w:after="0" w:line="276" w:lineRule="auto"/>
      <w:jc w:val="both"/>
      <w:rPr>
        <w:rFonts w:ascii="Arial" w:hAnsi="Arial" w:eastAsia="Calibri" w:cs="Arial"/>
        <w:b/>
        <w:bCs/>
        <w:color w:val="AEAAAA"/>
        <w:sz w:val="18"/>
        <w:szCs w:val="20"/>
        <w:lang w:val="en-US"/>
      </w:rPr>
    </w:pPr>
  </w:p>
  <w:p w:rsidRPr="00993043" w:rsidR="0056268A" w:rsidRDefault="0056268A" w14:paraId="555781F2" w14:textId="60F0726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D11"/>
    <w:multiLevelType w:val="hybridMultilevel"/>
    <w:tmpl w:val="DA36E012"/>
    <w:lvl w:ilvl="0" w:tplc="E08AB41C">
      <w:start w:val="6"/>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6D15894"/>
    <w:multiLevelType w:val="hybridMultilevel"/>
    <w:tmpl w:val="D7F44AC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30061814"/>
    <w:multiLevelType w:val="multilevel"/>
    <w:tmpl w:val="D4FA1A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42D5B83"/>
    <w:multiLevelType w:val="multilevel"/>
    <w:tmpl w:val="E50216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6DC4D84"/>
    <w:multiLevelType w:val="hybridMultilevel"/>
    <w:tmpl w:val="FDF2EE62"/>
    <w:lvl w:ilvl="0" w:tplc="B1709AB4">
      <w:start w:val="1"/>
      <w:numFmt w:val="bullet"/>
      <w:lvlText w:val="•"/>
      <w:lvlJc w:val="left"/>
      <w:pPr>
        <w:tabs>
          <w:tab w:val="num" w:pos="1776"/>
        </w:tabs>
        <w:ind w:left="1776" w:hanging="360"/>
      </w:pPr>
      <w:rPr>
        <w:rFonts w:hint="default" w:ascii="Arial" w:hAnsi="Arial"/>
      </w:rPr>
    </w:lvl>
    <w:lvl w:ilvl="1" w:tplc="828E0FF6" w:tentative="1">
      <w:start w:val="1"/>
      <w:numFmt w:val="bullet"/>
      <w:lvlText w:val="•"/>
      <w:lvlJc w:val="left"/>
      <w:pPr>
        <w:tabs>
          <w:tab w:val="num" w:pos="2496"/>
        </w:tabs>
        <w:ind w:left="2496" w:hanging="360"/>
      </w:pPr>
      <w:rPr>
        <w:rFonts w:hint="default" w:ascii="Arial" w:hAnsi="Arial"/>
      </w:rPr>
    </w:lvl>
    <w:lvl w:ilvl="2" w:tplc="ABC42796" w:tentative="1">
      <w:start w:val="1"/>
      <w:numFmt w:val="bullet"/>
      <w:lvlText w:val="•"/>
      <w:lvlJc w:val="left"/>
      <w:pPr>
        <w:tabs>
          <w:tab w:val="num" w:pos="3216"/>
        </w:tabs>
        <w:ind w:left="3216" w:hanging="360"/>
      </w:pPr>
      <w:rPr>
        <w:rFonts w:hint="default" w:ascii="Arial" w:hAnsi="Arial"/>
      </w:rPr>
    </w:lvl>
    <w:lvl w:ilvl="3" w:tplc="01684D58" w:tentative="1">
      <w:start w:val="1"/>
      <w:numFmt w:val="bullet"/>
      <w:lvlText w:val="•"/>
      <w:lvlJc w:val="left"/>
      <w:pPr>
        <w:tabs>
          <w:tab w:val="num" w:pos="3936"/>
        </w:tabs>
        <w:ind w:left="3936" w:hanging="360"/>
      </w:pPr>
      <w:rPr>
        <w:rFonts w:hint="default" w:ascii="Arial" w:hAnsi="Arial"/>
      </w:rPr>
    </w:lvl>
    <w:lvl w:ilvl="4" w:tplc="B37ABE7C" w:tentative="1">
      <w:start w:val="1"/>
      <w:numFmt w:val="bullet"/>
      <w:lvlText w:val="•"/>
      <w:lvlJc w:val="left"/>
      <w:pPr>
        <w:tabs>
          <w:tab w:val="num" w:pos="4656"/>
        </w:tabs>
        <w:ind w:left="4656" w:hanging="360"/>
      </w:pPr>
      <w:rPr>
        <w:rFonts w:hint="default" w:ascii="Arial" w:hAnsi="Arial"/>
      </w:rPr>
    </w:lvl>
    <w:lvl w:ilvl="5" w:tplc="4B902FEC" w:tentative="1">
      <w:start w:val="1"/>
      <w:numFmt w:val="bullet"/>
      <w:lvlText w:val="•"/>
      <w:lvlJc w:val="left"/>
      <w:pPr>
        <w:tabs>
          <w:tab w:val="num" w:pos="5376"/>
        </w:tabs>
        <w:ind w:left="5376" w:hanging="360"/>
      </w:pPr>
      <w:rPr>
        <w:rFonts w:hint="default" w:ascii="Arial" w:hAnsi="Arial"/>
      </w:rPr>
    </w:lvl>
    <w:lvl w:ilvl="6" w:tplc="BA1660B8" w:tentative="1">
      <w:start w:val="1"/>
      <w:numFmt w:val="bullet"/>
      <w:lvlText w:val="•"/>
      <w:lvlJc w:val="left"/>
      <w:pPr>
        <w:tabs>
          <w:tab w:val="num" w:pos="6096"/>
        </w:tabs>
        <w:ind w:left="6096" w:hanging="360"/>
      </w:pPr>
      <w:rPr>
        <w:rFonts w:hint="default" w:ascii="Arial" w:hAnsi="Arial"/>
      </w:rPr>
    </w:lvl>
    <w:lvl w:ilvl="7" w:tplc="EEE0AED4" w:tentative="1">
      <w:start w:val="1"/>
      <w:numFmt w:val="bullet"/>
      <w:lvlText w:val="•"/>
      <w:lvlJc w:val="left"/>
      <w:pPr>
        <w:tabs>
          <w:tab w:val="num" w:pos="6816"/>
        </w:tabs>
        <w:ind w:left="6816" w:hanging="360"/>
      </w:pPr>
      <w:rPr>
        <w:rFonts w:hint="default" w:ascii="Arial" w:hAnsi="Arial"/>
      </w:rPr>
    </w:lvl>
    <w:lvl w:ilvl="8" w:tplc="9524EDCE" w:tentative="1">
      <w:start w:val="1"/>
      <w:numFmt w:val="bullet"/>
      <w:lvlText w:val="•"/>
      <w:lvlJc w:val="left"/>
      <w:pPr>
        <w:tabs>
          <w:tab w:val="num" w:pos="7536"/>
        </w:tabs>
        <w:ind w:left="7536" w:hanging="360"/>
      </w:pPr>
      <w:rPr>
        <w:rFonts w:hint="default" w:ascii="Arial" w:hAnsi="Arial"/>
      </w:rPr>
    </w:lvl>
  </w:abstractNum>
  <w:abstractNum w:abstractNumId="5" w15:restartNumberingAfterBreak="0">
    <w:nsid w:val="374219FC"/>
    <w:multiLevelType w:val="multilevel"/>
    <w:tmpl w:val="3FA859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9442510"/>
    <w:multiLevelType w:val="hybridMultilevel"/>
    <w:tmpl w:val="0A6AD74A"/>
    <w:lvl w:ilvl="0" w:tplc="E81AEB92">
      <w:start w:val="1"/>
      <w:numFmt w:val="bullet"/>
      <w:lvlText w:val=""/>
      <w:lvlJc w:val="left"/>
      <w:pPr>
        <w:tabs>
          <w:tab w:val="num" w:pos="720"/>
        </w:tabs>
        <w:ind w:left="720" w:hanging="360"/>
      </w:pPr>
      <w:rPr>
        <w:rFonts w:hint="default" w:ascii="Symbol" w:hAnsi="Symbol"/>
        <w:sz w:val="20"/>
      </w:rPr>
    </w:lvl>
    <w:lvl w:ilvl="1" w:tplc="EB665E56" w:tentative="1">
      <w:start w:val="1"/>
      <w:numFmt w:val="bullet"/>
      <w:lvlText w:val=""/>
      <w:lvlJc w:val="left"/>
      <w:pPr>
        <w:tabs>
          <w:tab w:val="num" w:pos="1440"/>
        </w:tabs>
        <w:ind w:left="1440" w:hanging="360"/>
      </w:pPr>
      <w:rPr>
        <w:rFonts w:hint="default" w:ascii="Symbol" w:hAnsi="Symbol"/>
        <w:sz w:val="20"/>
      </w:rPr>
    </w:lvl>
    <w:lvl w:ilvl="2" w:tplc="7A1AB186" w:tentative="1">
      <w:start w:val="1"/>
      <w:numFmt w:val="bullet"/>
      <w:lvlText w:val=""/>
      <w:lvlJc w:val="left"/>
      <w:pPr>
        <w:tabs>
          <w:tab w:val="num" w:pos="2160"/>
        </w:tabs>
        <w:ind w:left="2160" w:hanging="360"/>
      </w:pPr>
      <w:rPr>
        <w:rFonts w:hint="default" w:ascii="Symbol" w:hAnsi="Symbol"/>
        <w:sz w:val="20"/>
      </w:rPr>
    </w:lvl>
    <w:lvl w:ilvl="3" w:tplc="011A9DA0" w:tentative="1">
      <w:start w:val="1"/>
      <w:numFmt w:val="bullet"/>
      <w:lvlText w:val=""/>
      <w:lvlJc w:val="left"/>
      <w:pPr>
        <w:tabs>
          <w:tab w:val="num" w:pos="2880"/>
        </w:tabs>
        <w:ind w:left="2880" w:hanging="360"/>
      </w:pPr>
      <w:rPr>
        <w:rFonts w:hint="default" w:ascii="Symbol" w:hAnsi="Symbol"/>
        <w:sz w:val="20"/>
      </w:rPr>
    </w:lvl>
    <w:lvl w:ilvl="4" w:tplc="7D2EEE16" w:tentative="1">
      <w:start w:val="1"/>
      <w:numFmt w:val="bullet"/>
      <w:lvlText w:val=""/>
      <w:lvlJc w:val="left"/>
      <w:pPr>
        <w:tabs>
          <w:tab w:val="num" w:pos="3600"/>
        </w:tabs>
        <w:ind w:left="3600" w:hanging="360"/>
      </w:pPr>
      <w:rPr>
        <w:rFonts w:hint="default" w:ascii="Symbol" w:hAnsi="Symbol"/>
        <w:sz w:val="20"/>
      </w:rPr>
    </w:lvl>
    <w:lvl w:ilvl="5" w:tplc="6FBE385C" w:tentative="1">
      <w:start w:val="1"/>
      <w:numFmt w:val="bullet"/>
      <w:lvlText w:val=""/>
      <w:lvlJc w:val="left"/>
      <w:pPr>
        <w:tabs>
          <w:tab w:val="num" w:pos="4320"/>
        </w:tabs>
        <w:ind w:left="4320" w:hanging="360"/>
      </w:pPr>
      <w:rPr>
        <w:rFonts w:hint="default" w:ascii="Symbol" w:hAnsi="Symbol"/>
        <w:sz w:val="20"/>
      </w:rPr>
    </w:lvl>
    <w:lvl w:ilvl="6" w:tplc="9C921F34" w:tentative="1">
      <w:start w:val="1"/>
      <w:numFmt w:val="bullet"/>
      <w:lvlText w:val=""/>
      <w:lvlJc w:val="left"/>
      <w:pPr>
        <w:tabs>
          <w:tab w:val="num" w:pos="5040"/>
        </w:tabs>
        <w:ind w:left="5040" w:hanging="360"/>
      </w:pPr>
      <w:rPr>
        <w:rFonts w:hint="default" w:ascii="Symbol" w:hAnsi="Symbol"/>
        <w:sz w:val="20"/>
      </w:rPr>
    </w:lvl>
    <w:lvl w:ilvl="7" w:tplc="82EABFE6" w:tentative="1">
      <w:start w:val="1"/>
      <w:numFmt w:val="bullet"/>
      <w:lvlText w:val=""/>
      <w:lvlJc w:val="left"/>
      <w:pPr>
        <w:tabs>
          <w:tab w:val="num" w:pos="5760"/>
        </w:tabs>
        <w:ind w:left="5760" w:hanging="360"/>
      </w:pPr>
      <w:rPr>
        <w:rFonts w:hint="default" w:ascii="Symbol" w:hAnsi="Symbol"/>
        <w:sz w:val="20"/>
      </w:rPr>
    </w:lvl>
    <w:lvl w:ilvl="8" w:tplc="7CC04996"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C1635D7"/>
    <w:multiLevelType w:val="hybridMultilevel"/>
    <w:tmpl w:val="2806DC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7201E12"/>
    <w:multiLevelType w:val="hybridMultilevel"/>
    <w:tmpl w:val="8EB66F5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9" w15:restartNumberingAfterBreak="0">
    <w:nsid w:val="5A4D1321"/>
    <w:multiLevelType w:val="hybridMultilevel"/>
    <w:tmpl w:val="37B0D15E"/>
    <w:lvl w:ilvl="0" w:tplc="200A0001">
      <w:start w:val="1"/>
      <w:numFmt w:val="bullet"/>
      <w:lvlText w:val=""/>
      <w:lvlJc w:val="left"/>
      <w:pPr>
        <w:ind w:left="720" w:hanging="360"/>
      </w:pPr>
      <w:rPr>
        <w:rFonts w:hint="default" w:ascii="Symbol" w:hAnsi="Symbol"/>
      </w:rPr>
    </w:lvl>
    <w:lvl w:ilvl="1" w:tplc="200A0003">
      <w:start w:val="1"/>
      <w:numFmt w:val="bullet"/>
      <w:lvlText w:val="o"/>
      <w:lvlJc w:val="left"/>
      <w:pPr>
        <w:ind w:left="1440" w:hanging="360"/>
      </w:pPr>
      <w:rPr>
        <w:rFonts w:hint="default" w:ascii="Courier New" w:hAnsi="Courier New" w:cs="Courier New"/>
      </w:rPr>
    </w:lvl>
    <w:lvl w:ilvl="2" w:tplc="200A0005" w:tentative="1">
      <w:start w:val="1"/>
      <w:numFmt w:val="bullet"/>
      <w:lvlText w:val=""/>
      <w:lvlJc w:val="left"/>
      <w:pPr>
        <w:ind w:left="2160" w:hanging="360"/>
      </w:pPr>
      <w:rPr>
        <w:rFonts w:hint="default" w:ascii="Wingdings" w:hAnsi="Wingdings"/>
      </w:rPr>
    </w:lvl>
    <w:lvl w:ilvl="3" w:tplc="200A0001" w:tentative="1">
      <w:start w:val="1"/>
      <w:numFmt w:val="bullet"/>
      <w:lvlText w:val=""/>
      <w:lvlJc w:val="left"/>
      <w:pPr>
        <w:ind w:left="2880" w:hanging="360"/>
      </w:pPr>
      <w:rPr>
        <w:rFonts w:hint="default" w:ascii="Symbol" w:hAnsi="Symbol"/>
      </w:rPr>
    </w:lvl>
    <w:lvl w:ilvl="4" w:tplc="200A0003" w:tentative="1">
      <w:start w:val="1"/>
      <w:numFmt w:val="bullet"/>
      <w:lvlText w:val="o"/>
      <w:lvlJc w:val="left"/>
      <w:pPr>
        <w:ind w:left="3600" w:hanging="360"/>
      </w:pPr>
      <w:rPr>
        <w:rFonts w:hint="default" w:ascii="Courier New" w:hAnsi="Courier New" w:cs="Courier New"/>
      </w:rPr>
    </w:lvl>
    <w:lvl w:ilvl="5" w:tplc="200A0005" w:tentative="1">
      <w:start w:val="1"/>
      <w:numFmt w:val="bullet"/>
      <w:lvlText w:val=""/>
      <w:lvlJc w:val="left"/>
      <w:pPr>
        <w:ind w:left="4320" w:hanging="360"/>
      </w:pPr>
      <w:rPr>
        <w:rFonts w:hint="default" w:ascii="Wingdings" w:hAnsi="Wingdings"/>
      </w:rPr>
    </w:lvl>
    <w:lvl w:ilvl="6" w:tplc="200A0001" w:tentative="1">
      <w:start w:val="1"/>
      <w:numFmt w:val="bullet"/>
      <w:lvlText w:val=""/>
      <w:lvlJc w:val="left"/>
      <w:pPr>
        <w:ind w:left="5040" w:hanging="360"/>
      </w:pPr>
      <w:rPr>
        <w:rFonts w:hint="default" w:ascii="Symbol" w:hAnsi="Symbol"/>
      </w:rPr>
    </w:lvl>
    <w:lvl w:ilvl="7" w:tplc="200A0003" w:tentative="1">
      <w:start w:val="1"/>
      <w:numFmt w:val="bullet"/>
      <w:lvlText w:val="o"/>
      <w:lvlJc w:val="left"/>
      <w:pPr>
        <w:ind w:left="5760" w:hanging="360"/>
      </w:pPr>
      <w:rPr>
        <w:rFonts w:hint="default" w:ascii="Courier New" w:hAnsi="Courier New" w:cs="Courier New"/>
      </w:rPr>
    </w:lvl>
    <w:lvl w:ilvl="8" w:tplc="200A0005" w:tentative="1">
      <w:start w:val="1"/>
      <w:numFmt w:val="bullet"/>
      <w:lvlText w:val=""/>
      <w:lvlJc w:val="left"/>
      <w:pPr>
        <w:ind w:left="6480" w:hanging="360"/>
      </w:pPr>
      <w:rPr>
        <w:rFonts w:hint="default" w:ascii="Wingdings" w:hAnsi="Wingdings"/>
      </w:rPr>
    </w:lvl>
  </w:abstractNum>
  <w:abstractNum w:abstractNumId="10" w15:restartNumberingAfterBreak="0">
    <w:nsid w:val="5B8F46FA"/>
    <w:multiLevelType w:val="multilevel"/>
    <w:tmpl w:val="67B037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0073F6E"/>
    <w:multiLevelType w:val="hybridMultilevel"/>
    <w:tmpl w:val="8FA8AAEE"/>
    <w:lvl w:ilvl="0" w:tplc="200A0001">
      <w:start w:val="1"/>
      <w:numFmt w:val="bullet"/>
      <w:lvlText w:val=""/>
      <w:lvlJc w:val="left"/>
      <w:pPr>
        <w:ind w:left="720" w:hanging="360"/>
      </w:pPr>
      <w:rPr>
        <w:rFonts w:hint="default" w:ascii="Symbol" w:hAnsi="Symbol"/>
      </w:rPr>
    </w:lvl>
    <w:lvl w:ilvl="1" w:tplc="200A0003" w:tentative="1">
      <w:start w:val="1"/>
      <w:numFmt w:val="bullet"/>
      <w:lvlText w:val="o"/>
      <w:lvlJc w:val="left"/>
      <w:pPr>
        <w:ind w:left="1440" w:hanging="360"/>
      </w:pPr>
      <w:rPr>
        <w:rFonts w:hint="default" w:ascii="Courier New" w:hAnsi="Courier New" w:cs="Courier New"/>
      </w:rPr>
    </w:lvl>
    <w:lvl w:ilvl="2" w:tplc="200A0005" w:tentative="1">
      <w:start w:val="1"/>
      <w:numFmt w:val="bullet"/>
      <w:lvlText w:val=""/>
      <w:lvlJc w:val="left"/>
      <w:pPr>
        <w:ind w:left="2160" w:hanging="360"/>
      </w:pPr>
      <w:rPr>
        <w:rFonts w:hint="default" w:ascii="Wingdings" w:hAnsi="Wingdings"/>
      </w:rPr>
    </w:lvl>
    <w:lvl w:ilvl="3" w:tplc="200A0001" w:tentative="1">
      <w:start w:val="1"/>
      <w:numFmt w:val="bullet"/>
      <w:lvlText w:val=""/>
      <w:lvlJc w:val="left"/>
      <w:pPr>
        <w:ind w:left="2880" w:hanging="360"/>
      </w:pPr>
      <w:rPr>
        <w:rFonts w:hint="default" w:ascii="Symbol" w:hAnsi="Symbol"/>
      </w:rPr>
    </w:lvl>
    <w:lvl w:ilvl="4" w:tplc="200A0003" w:tentative="1">
      <w:start w:val="1"/>
      <w:numFmt w:val="bullet"/>
      <w:lvlText w:val="o"/>
      <w:lvlJc w:val="left"/>
      <w:pPr>
        <w:ind w:left="3600" w:hanging="360"/>
      </w:pPr>
      <w:rPr>
        <w:rFonts w:hint="default" w:ascii="Courier New" w:hAnsi="Courier New" w:cs="Courier New"/>
      </w:rPr>
    </w:lvl>
    <w:lvl w:ilvl="5" w:tplc="200A0005" w:tentative="1">
      <w:start w:val="1"/>
      <w:numFmt w:val="bullet"/>
      <w:lvlText w:val=""/>
      <w:lvlJc w:val="left"/>
      <w:pPr>
        <w:ind w:left="4320" w:hanging="360"/>
      </w:pPr>
      <w:rPr>
        <w:rFonts w:hint="default" w:ascii="Wingdings" w:hAnsi="Wingdings"/>
      </w:rPr>
    </w:lvl>
    <w:lvl w:ilvl="6" w:tplc="200A0001" w:tentative="1">
      <w:start w:val="1"/>
      <w:numFmt w:val="bullet"/>
      <w:lvlText w:val=""/>
      <w:lvlJc w:val="left"/>
      <w:pPr>
        <w:ind w:left="5040" w:hanging="360"/>
      </w:pPr>
      <w:rPr>
        <w:rFonts w:hint="default" w:ascii="Symbol" w:hAnsi="Symbol"/>
      </w:rPr>
    </w:lvl>
    <w:lvl w:ilvl="7" w:tplc="200A0003" w:tentative="1">
      <w:start w:val="1"/>
      <w:numFmt w:val="bullet"/>
      <w:lvlText w:val="o"/>
      <w:lvlJc w:val="left"/>
      <w:pPr>
        <w:ind w:left="5760" w:hanging="360"/>
      </w:pPr>
      <w:rPr>
        <w:rFonts w:hint="default" w:ascii="Courier New" w:hAnsi="Courier New" w:cs="Courier New"/>
      </w:rPr>
    </w:lvl>
    <w:lvl w:ilvl="8" w:tplc="200A0005" w:tentative="1">
      <w:start w:val="1"/>
      <w:numFmt w:val="bullet"/>
      <w:lvlText w:val=""/>
      <w:lvlJc w:val="left"/>
      <w:pPr>
        <w:ind w:left="6480" w:hanging="360"/>
      </w:pPr>
      <w:rPr>
        <w:rFonts w:hint="default" w:ascii="Wingdings" w:hAnsi="Wingdings"/>
      </w:rPr>
    </w:lvl>
  </w:abstractNum>
  <w:abstractNum w:abstractNumId="12" w15:restartNumberingAfterBreak="0">
    <w:nsid w:val="6B486FD5"/>
    <w:multiLevelType w:val="hybridMultilevel"/>
    <w:tmpl w:val="417A5DB2"/>
    <w:lvl w:ilvl="0" w:tplc="200A0001">
      <w:start w:val="1"/>
      <w:numFmt w:val="bullet"/>
      <w:lvlText w:val=""/>
      <w:lvlJc w:val="left"/>
      <w:pPr>
        <w:ind w:left="720" w:hanging="360"/>
      </w:pPr>
      <w:rPr>
        <w:rFonts w:hint="default" w:ascii="Symbol" w:hAnsi="Symbol"/>
      </w:rPr>
    </w:lvl>
    <w:lvl w:ilvl="1" w:tplc="200A0003" w:tentative="1">
      <w:start w:val="1"/>
      <w:numFmt w:val="bullet"/>
      <w:lvlText w:val="o"/>
      <w:lvlJc w:val="left"/>
      <w:pPr>
        <w:ind w:left="1440" w:hanging="360"/>
      </w:pPr>
      <w:rPr>
        <w:rFonts w:hint="default" w:ascii="Courier New" w:hAnsi="Courier New" w:cs="Courier New"/>
      </w:rPr>
    </w:lvl>
    <w:lvl w:ilvl="2" w:tplc="200A0005" w:tentative="1">
      <w:start w:val="1"/>
      <w:numFmt w:val="bullet"/>
      <w:lvlText w:val=""/>
      <w:lvlJc w:val="left"/>
      <w:pPr>
        <w:ind w:left="2160" w:hanging="360"/>
      </w:pPr>
      <w:rPr>
        <w:rFonts w:hint="default" w:ascii="Wingdings" w:hAnsi="Wingdings"/>
      </w:rPr>
    </w:lvl>
    <w:lvl w:ilvl="3" w:tplc="200A0001" w:tentative="1">
      <w:start w:val="1"/>
      <w:numFmt w:val="bullet"/>
      <w:lvlText w:val=""/>
      <w:lvlJc w:val="left"/>
      <w:pPr>
        <w:ind w:left="2880" w:hanging="360"/>
      </w:pPr>
      <w:rPr>
        <w:rFonts w:hint="default" w:ascii="Symbol" w:hAnsi="Symbol"/>
      </w:rPr>
    </w:lvl>
    <w:lvl w:ilvl="4" w:tplc="200A0003" w:tentative="1">
      <w:start w:val="1"/>
      <w:numFmt w:val="bullet"/>
      <w:lvlText w:val="o"/>
      <w:lvlJc w:val="left"/>
      <w:pPr>
        <w:ind w:left="3600" w:hanging="360"/>
      </w:pPr>
      <w:rPr>
        <w:rFonts w:hint="default" w:ascii="Courier New" w:hAnsi="Courier New" w:cs="Courier New"/>
      </w:rPr>
    </w:lvl>
    <w:lvl w:ilvl="5" w:tplc="200A0005" w:tentative="1">
      <w:start w:val="1"/>
      <w:numFmt w:val="bullet"/>
      <w:lvlText w:val=""/>
      <w:lvlJc w:val="left"/>
      <w:pPr>
        <w:ind w:left="4320" w:hanging="360"/>
      </w:pPr>
      <w:rPr>
        <w:rFonts w:hint="default" w:ascii="Wingdings" w:hAnsi="Wingdings"/>
      </w:rPr>
    </w:lvl>
    <w:lvl w:ilvl="6" w:tplc="200A0001" w:tentative="1">
      <w:start w:val="1"/>
      <w:numFmt w:val="bullet"/>
      <w:lvlText w:val=""/>
      <w:lvlJc w:val="left"/>
      <w:pPr>
        <w:ind w:left="5040" w:hanging="360"/>
      </w:pPr>
      <w:rPr>
        <w:rFonts w:hint="default" w:ascii="Symbol" w:hAnsi="Symbol"/>
      </w:rPr>
    </w:lvl>
    <w:lvl w:ilvl="7" w:tplc="200A0003" w:tentative="1">
      <w:start w:val="1"/>
      <w:numFmt w:val="bullet"/>
      <w:lvlText w:val="o"/>
      <w:lvlJc w:val="left"/>
      <w:pPr>
        <w:ind w:left="5760" w:hanging="360"/>
      </w:pPr>
      <w:rPr>
        <w:rFonts w:hint="default" w:ascii="Courier New" w:hAnsi="Courier New" w:cs="Courier New"/>
      </w:rPr>
    </w:lvl>
    <w:lvl w:ilvl="8" w:tplc="200A0005" w:tentative="1">
      <w:start w:val="1"/>
      <w:numFmt w:val="bullet"/>
      <w:lvlText w:val=""/>
      <w:lvlJc w:val="left"/>
      <w:pPr>
        <w:ind w:left="6480" w:hanging="360"/>
      </w:pPr>
      <w:rPr>
        <w:rFonts w:hint="default" w:ascii="Wingdings" w:hAnsi="Wingdings"/>
      </w:rPr>
    </w:lvl>
  </w:abstractNum>
  <w:abstractNum w:abstractNumId="13" w15:restartNumberingAfterBreak="0">
    <w:nsid w:val="7E682B3A"/>
    <w:multiLevelType w:val="hybridMultilevel"/>
    <w:tmpl w:val="24AC5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0"/>
  </w:num>
  <w:num w:numId="5">
    <w:abstractNumId w:val="4"/>
  </w:num>
  <w:num w:numId="6">
    <w:abstractNumId w:val="3"/>
  </w:num>
  <w:num w:numId="7">
    <w:abstractNumId w:val="5"/>
  </w:num>
  <w:num w:numId="8">
    <w:abstractNumId w:val="2"/>
  </w:num>
  <w:num w:numId="9">
    <w:abstractNumId w:val="8"/>
  </w:num>
  <w:num w:numId="10">
    <w:abstractNumId w:val="10"/>
  </w:num>
  <w:num w:numId="11">
    <w:abstractNumId w:val="6"/>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8A"/>
    <w:rsid w:val="00010B2F"/>
    <w:rsid w:val="0001186D"/>
    <w:rsid w:val="00017F4C"/>
    <w:rsid w:val="00035501"/>
    <w:rsid w:val="000361D4"/>
    <w:rsid w:val="00046D13"/>
    <w:rsid w:val="00052EF1"/>
    <w:rsid w:val="00073FD7"/>
    <w:rsid w:val="000C5CA5"/>
    <w:rsid w:val="00176AA8"/>
    <w:rsid w:val="001A2498"/>
    <w:rsid w:val="001C046E"/>
    <w:rsid w:val="001D7FDF"/>
    <w:rsid w:val="001E460A"/>
    <w:rsid w:val="002A0AE3"/>
    <w:rsid w:val="002A32D6"/>
    <w:rsid w:val="00315693"/>
    <w:rsid w:val="0032159F"/>
    <w:rsid w:val="003B5C50"/>
    <w:rsid w:val="003E7D44"/>
    <w:rsid w:val="003F4FED"/>
    <w:rsid w:val="00406DC8"/>
    <w:rsid w:val="00411750"/>
    <w:rsid w:val="0047021E"/>
    <w:rsid w:val="00486EE7"/>
    <w:rsid w:val="00487A96"/>
    <w:rsid w:val="004D17EE"/>
    <w:rsid w:val="00526524"/>
    <w:rsid w:val="00544C61"/>
    <w:rsid w:val="00546211"/>
    <w:rsid w:val="0055754B"/>
    <w:rsid w:val="0056268A"/>
    <w:rsid w:val="00573EE3"/>
    <w:rsid w:val="0058085A"/>
    <w:rsid w:val="005A50D4"/>
    <w:rsid w:val="005C1023"/>
    <w:rsid w:val="005C5FBA"/>
    <w:rsid w:val="005E6DFA"/>
    <w:rsid w:val="005F11C7"/>
    <w:rsid w:val="00611096"/>
    <w:rsid w:val="00614A88"/>
    <w:rsid w:val="00620090"/>
    <w:rsid w:val="00631853"/>
    <w:rsid w:val="0067027F"/>
    <w:rsid w:val="006C6EBA"/>
    <w:rsid w:val="006F2EBD"/>
    <w:rsid w:val="00715A87"/>
    <w:rsid w:val="00721423"/>
    <w:rsid w:val="007550B9"/>
    <w:rsid w:val="00761B9D"/>
    <w:rsid w:val="008030E3"/>
    <w:rsid w:val="00810346"/>
    <w:rsid w:val="008109C3"/>
    <w:rsid w:val="00810E6E"/>
    <w:rsid w:val="00821154"/>
    <w:rsid w:val="00882D4F"/>
    <w:rsid w:val="00887970"/>
    <w:rsid w:val="008C5C29"/>
    <w:rsid w:val="008E3DA1"/>
    <w:rsid w:val="008E5FE7"/>
    <w:rsid w:val="008F473F"/>
    <w:rsid w:val="009321E6"/>
    <w:rsid w:val="009474D8"/>
    <w:rsid w:val="00956C20"/>
    <w:rsid w:val="00963A65"/>
    <w:rsid w:val="00993043"/>
    <w:rsid w:val="009A259B"/>
    <w:rsid w:val="009B46BA"/>
    <w:rsid w:val="009C0791"/>
    <w:rsid w:val="00A0209D"/>
    <w:rsid w:val="00A24425"/>
    <w:rsid w:val="00A80EBC"/>
    <w:rsid w:val="00A912D4"/>
    <w:rsid w:val="00AF2953"/>
    <w:rsid w:val="00B31288"/>
    <w:rsid w:val="00B33BA2"/>
    <w:rsid w:val="00B54868"/>
    <w:rsid w:val="00B7209F"/>
    <w:rsid w:val="00C00319"/>
    <w:rsid w:val="00C37672"/>
    <w:rsid w:val="00C46595"/>
    <w:rsid w:val="00C47F06"/>
    <w:rsid w:val="00CB6D64"/>
    <w:rsid w:val="00CC29CE"/>
    <w:rsid w:val="00D20916"/>
    <w:rsid w:val="00D41EB4"/>
    <w:rsid w:val="00D63AD8"/>
    <w:rsid w:val="00D7166B"/>
    <w:rsid w:val="00DC2989"/>
    <w:rsid w:val="00DE739A"/>
    <w:rsid w:val="00E33559"/>
    <w:rsid w:val="00E44582"/>
    <w:rsid w:val="00E4707C"/>
    <w:rsid w:val="00E8158E"/>
    <w:rsid w:val="00F3320E"/>
    <w:rsid w:val="00F90240"/>
    <w:rsid w:val="00FA632F"/>
    <w:rsid w:val="00FC440B"/>
    <w:rsid w:val="00FF2992"/>
    <w:rsid w:val="05121A4B"/>
    <w:rsid w:val="0726AA7C"/>
    <w:rsid w:val="0C686362"/>
    <w:rsid w:val="53B8F7FE"/>
    <w:rsid w:val="63E8F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C8A51"/>
  <w15:chartTrackingRefBased/>
  <w15:docId w15:val="{84D9D840-C742-4657-A91D-4B92B5F0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6268A"/>
    <w:pPr>
      <w:tabs>
        <w:tab w:val="center" w:pos="4680"/>
        <w:tab w:val="right" w:pos="9360"/>
      </w:tabs>
      <w:spacing w:after="0" w:line="240" w:lineRule="auto"/>
    </w:pPr>
  </w:style>
  <w:style w:type="character" w:styleId="HeaderChar" w:customStyle="1">
    <w:name w:val="Header Char"/>
    <w:basedOn w:val="DefaultParagraphFont"/>
    <w:link w:val="Header"/>
    <w:uiPriority w:val="99"/>
    <w:rsid w:val="0056268A"/>
  </w:style>
  <w:style w:type="paragraph" w:styleId="Footer">
    <w:name w:val="footer"/>
    <w:basedOn w:val="Normal"/>
    <w:link w:val="FooterChar"/>
    <w:uiPriority w:val="99"/>
    <w:unhideWhenUsed/>
    <w:rsid w:val="0056268A"/>
    <w:pPr>
      <w:tabs>
        <w:tab w:val="center" w:pos="4680"/>
        <w:tab w:val="right" w:pos="9360"/>
      </w:tabs>
      <w:spacing w:after="0" w:line="240" w:lineRule="auto"/>
    </w:pPr>
  </w:style>
  <w:style w:type="character" w:styleId="FooterChar" w:customStyle="1">
    <w:name w:val="Footer Char"/>
    <w:basedOn w:val="DefaultParagraphFont"/>
    <w:link w:val="Footer"/>
    <w:uiPriority w:val="99"/>
    <w:rsid w:val="0056268A"/>
  </w:style>
  <w:style w:type="paragraph" w:styleId="NormalWeb">
    <w:name w:val="Normal (Web)"/>
    <w:basedOn w:val="Normal"/>
    <w:uiPriority w:val="99"/>
    <w:unhideWhenUsed/>
    <w:rsid w:val="00A0209D"/>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yperlink">
    <w:name w:val="Hyperlink"/>
    <w:basedOn w:val="DefaultParagraphFont"/>
    <w:uiPriority w:val="99"/>
    <w:unhideWhenUsed/>
    <w:rsid w:val="00A0209D"/>
    <w:rPr>
      <w:color w:val="0000FF"/>
      <w:u w:val="single"/>
    </w:rPr>
  </w:style>
  <w:style w:type="paragraph" w:styleId="ListParagraph">
    <w:name w:val="List Paragraph"/>
    <w:basedOn w:val="Normal"/>
    <w:uiPriority w:val="34"/>
    <w:qFormat/>
    <w:rsid w:val="00544C61"/>
    <w:pPr>
      <w:ind w:left="720"/>
      <w:contextualSpacing/>
    </w:pPr>
  </w:style>
  <w:style w:type="character" w:styleId="Strong">
    <w:name w:val="Strong"/>
    <w:basedOn w:val="DefaultParagraphFont"/>
    <w:uiPriority w:val="22"/>
    <w:qFormat/>
    <w:rsid w:val="00315693"/>
    <w:rPr>
      <w:b/>
      <w:bCs/>
    </w:rPr>
  </w:style>
  <w:style w:type="character" w:styleId="CommentReference">
    <w:name w:val="annotation reference"/>
    <w:basedOn w:val="DefaultParagraphFont"/>
    <w:uiPriority w:val="99"/>
    <w:semiHidden/>
    <w:unhideWhenUsed/>
    <w:rsid w:val="009B46BA"/>
    <w:rPr>
      <w:sz w:val="16"/>
      <w:szCs w:val="16"/>
    </w:rPr>
  </w:style>
  <w:style w:type="paragraph" w:styleId="CommentText">
    <w:name w:val="annotation text"/>
    <w:basedOn w:val="Normal"/>
    <w:link w:val="CommentTextChar"/>
    <w:uiPriority w:val="99"/>
    <w:semiHidden/>
    <w:unhideWhenUsed/>
    <w:rsid w:val="009B46BA"/>
    <w:pPr>
      <w:spacing w:line="240" w:lineRule="auto"/>
    </w:pPr>
    <w:rPr>
      <w:sz w:val="20"/>
      <w:szCs w:val="20"/>
    </w:rPr>
  </w:style>
  <w:style w:type="character" w:styleId="CommentTextChar" w:customStyle="1">
    <w:name w:val="Comment Text Char"/>
    <w:basedOn w:val="DefaultParagraphFont"/>
    <w:link w:val="CommentText"/>
    <w:uiPriority w:val="99"/>
    <w:semiHidden/>
    <w:rsid w:val="009B46BA"/>
    <w:rPr>
      <w:sz w:val="20"/>
      <w:szCs w:val="20"/>
    </w:rPr>
  </w:style>
  <w:style w:type="paragraph" w:styleId="CommentSubject">
    <w:name w:val="annotation subject"/>
    <w:basedOn w:val="CommentText"/>
    <w:next w:val="CommentText"/>
    <w:link w:val="CommentSubjectChar"/>
    <w:uiPriority w:val="99"/>
    <w:semiHidden/>
    <w:unhideWhenUsed/>
    <w:rsid w:val="009B46BA"/>
    <w:rPr>
      <w:b/>
      <w:bCs/>
    </w:rPr>
  </w:style>
  <w:style w:type="character" w:styleId="CommentSubjectChar" w:customStyle="1">
    <w:name w:val="Comment Subject Char"/>
    <w:basedOn w:val="CommentTextChar"/>
    <w:link w:val="CommentSubject"/>
    <w:uiPriority w:val="99"/>
    <w:semiHidden/>
    <w:rsid w:val="009B46BA"/>
    <w:rPr>
      <w:b/>
      <w:bCs/>
      <w:sz w:val="20"/>
      <w:szCs w:val="20"/>
    </w:rPr>
  </w:style>
  <w:style w:type="character" w:styleId="UnresolvedMention">
    <w:name w:val="Unresolved Mention"/>
    <w:basedOn w:val="DefaultParagraphFont"/>
    <w:uiPriority w:val="99"/>
    <w:semiHidden/>
    <w:unhideWhenUsed/>
    <w:rsid w:val="002A0AE3"/>
    <w:rPr>
      <w:color w:val="605E5C"/>
      <w:shd w:val="clear" w:color="auto" w:fill="E1DFDD"/>
    </w:rPr>
  </w:style>
  <w:style w:type="character" w:styleId="apple-converted-space" w:customStyle="1">
    <w:name w:val="apple-converted-space"/>
    <w:basedOn w:val="DefaultParagraphFont"/>
    <w:rsid w:val="00C46595"/>
  </w:style>
  <w:style w:type="paragraph" w:styleId="NoSpacing">
    <w:name w:val="No Spacing"/>
    <w:uiPriority w:val="1"/>
    <w:qFormat/>
    <w:rsid w:val="00D41EB4"/>
    <w:pPr>
      <w:spacing w:after="0" w:line="240" w:lineRule="auto"/>
    </w:pPr>
    <w:rPr>
      <w:lang w:val="en-US"/>
    </w:rPr>
  </w:style>
  <w:style w:type="character" w:styleId="FollowedHyperlink">
    <w:name w:val="FollowedHyperlink"/>
    <w:basedOn w:val="DefaultParagraphFont"/>
    <w:uiPriority w:val="99"/>
    <w:semiHidden/>
    <w:unhideWhenUsed/>
    <w:rsid w:val="008030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843">
      <w:bodyDiv w:val="1"/>
      <w:marLeft w:val="0"/>
      <w:marRight w:val="0"/>
      <w:marTop w:val="0"/>
      <w:marBottom w:val="0"/>
      <w:divBdr>
        <w:top w:val="none" w:sz="0" w:space="0" w:color="auto"/>
        <w:left w:val="none" w:sz="0" w:space="0" w:color="auto"/>
        <w:bottom w:val="none" w:sz="0" w:space="0" w:color="auto"/>
        <w:right w:val="none" w:sz="0" w:space="0" w:color="auto"/>
      </w:divBdr>
      <w:divsChild>
        <w:div w:id="16956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224734">
              <w:marLeft w:val="0"/>
              <w:marRight w:val="0"/>
              <w:marTop w:val="0"/>
              <w:marBottom w:val="0"/>
              <w:divBdr>
                <w:top w:val="none" w:sz="0" w:space="0" w:color="auto"/>
                <w:left w:val="none" w:sz="0" w:space="0" w:color="auto"/>
                <w:bottom w:val="none" w:sz="0" w:space="0" w:color="auto"/>
                <w:right w:val="none" w:sz="0" w:space="0" w:color="auto"/>
              </w:divBdr>
              <w:divsChild>
                <w:div w:id="868450135">
                  <w:marLeft w:val="0"/>
                  <w:marRight w:val="0"/>
                  <w:marTop w:val="0"/>
                  <w:marBottom w:val="0"/>
                  <w:divBdr>
                    <w:top w:val="none" w:sz="0" w:space="0" w:color="auto"/>
                    <w:left w:val="none" w:sz="0" w:space="0" w:color="auto"/>
                    <w:bottom w:val="none" w:sz="0" w:space="0" w:color="auto"/>
                    <w:right w:val="none" w:sz="0" w:space="0" w:color="auto"/>
                  </w:divBdr>
                  <w:divsChild>
                    <w:div w:id="163671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2372">
      <w:bodyDiv w:val="1"/>
      <w:marLeft w:val="0"/>
      <w:marRight w:val="0"/>
      <w:marTop w:val="0"/>
      <w:marBottom w:val="0"/>
      <w:divBdr>
        <w:top w:val="none" w:sz="0" w:space="0" w:color="auto"/>
        <w:left w:val="none" w:sz="0" w:space="0" w:color="auto"/>
        <w:bottom w:val="none" w:sz="0" w:space="0" w:color="auto"/>
        <w:right w:val="none" w:sz="0" w:space="0" w:color="auto"/>
      </w:divBdr>
    </w:div>
    <w:div w:id="320160760">
      <w:bodyDiv w:val="1"/>
      <w:marLeft w:val="0"/>
      <w:marRight w:val="0"/>
      <w:marTop w:val="0"/>
      <w:marBottom w:val="0"/>
      <w:divBdr>
        <w:top w:val="none" w:sz="0" w:space="0" w:color="auto"/>
        <w:left w:val="none" w:sz="0" w:space="0" w:color="auto"/>
        <w:bottom w:val="none" w:sz="0" w:space="0" w:color="auto"/>
        <w:right w:val="none" w:sz="0" w:space="0" w:color="auto"/>
      </w:divBdr>
    </w:div>
    <w:div w:id="476413342">
      <w:bodyDiv w:val="1"/>
      <w:marLeft w:val="0"/>
      <w:marRight w:val="0"/>
      <w:marTop w:val="0"/>
      <w:marBottom w:val="0"/>
      <w:divBdr>
        <w:top w:val="none" w:sz="0" w:space="0" w:color="auto"/>
        <w:left w:val="none" w:sz="0" w:space="0" w:color="auto"/>
        <w:bottom w:val="none" w:sz="0" w:space="0" w:color="auto"/>
        <w:right w:val="none" w:sz="0" w:space="0" w:color="auto"/>
      </w:divBdr>
      <w:divsChild>
        <w:div w:id="1759668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645259">
              <w:marLeft w:val="0"/>
              <w:marRight w:val="0"/>
              <w:marTop w:val="0"/>
              <w:marBottom w:val="0"/>
              <w:divBdr>
                <w:top w:val="none" w:sz="0" w:space="0" w:color="auto"/>
                <w:left w:val="none" w:sz="0" w:space="0" w:color="auto"/>
                <w:bottom w:val="none" w:sz="0" w:space="0" w:color="auto"/>
                <w:right w:val="none" w:sz="0" w:space="0" w:color="auto"/>
              </w:divBdr>
              <w:divsChild>
                <w:div w:id="2049181830">
                  <w:marLeft w:val="0"/>
                  <w:marRight w:val="0"/>
                  <w:marTop w:val="0"/>
                  <w:marBottom w:val="0"/>
                  <w:divBdr>
                    <w:top w:val="none" w:sz="0" w:space="0" w:color="auto"/>
                    <w:left w:val="none" w:sz="0" w:space="0" w:color="auto"/>
                    <w:bottom w:val="none" w:sz="0" w:space="0" w:color="auto"/>
                    <w:right w:val="none" w:sz="0" w:space="0" w:color="auto"/>
                  </w:divBdr>
                  <w:divsChild>
                    <w:div w:id="1985159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3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91450">
      <w:bodyDiv w:val="1"/>
      <w:marLeft w:val="0"/>
      <w:marRight w:val="0"/>
      <w:marTop w:val="0"/>
      <w:marBottom w:val="0"/>
      <w:divBdr>
        <w:top w:val="none" w:sz="0" w:space="0" w:color="auto"/>
        <w:left w:val="none" w:sz="0" w:space="0" w:color="auto"/>
        <w:bottom w:val="none" w:sz="0" w:space="0" w:color="auto"/>
        <w:right w:val="none" w:sz="0" w:space="0" w:color="auto"/>
      </w:divBdr>
      <w:divsChild>
        <w:div w:id="1513295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799847">
              <w:marLeft w:val="0"/>
              <w:marRight w:val="0"/>
              <w:marTop w:val="0"/>
              <w:marBottom w:val="0"/>
              <w:divBdr>
                <w:top w:val="none" w:sz="0" w:space="0" w:color="auto"/>
                <w:left w:val="none" w:sz="0" w:space="0" w:color="auto"/>
                <w:bottom w:val="none" w:sz="0" w:space="0" w:color="auto"/>
                <w:right w:val="none" w:sz="0" w:space="0" w:color="auto"/>
              </w:divBdr>
              <w:divsChild>
                <w:div w:id="1162699286">
                  <w:marLeft w:val="0"/>
                  <w:marRight w:val="0"/>
                  <w:marTop w:val="0"/>
                  <w:marBottom w:val="0"/>
                  <w:divBdr>
                    <w:top w:val="none" w:sz="0" w:space="0" w:color="auto"/>
                    <w:left w:val="none" w:sz="0" w:space="0" w:color="auto"/>
                    <w:bottom w:val="none" w:sz="0" w:space="0" w:color="auto"/>
                    <w:right w:val="none" w:sz="0" w:space="0" w:color="auto"/>
                  </w:divBdr>
                  <w:divsChild>
                    <w:div w:id="157925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8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92293">
      <w:bodyDiv w:val="1"/>
      <w:marLeft w:val="0"/>
      <w:marRight w:val="0"/>
      <w:marTop w:val="0"/>
      <w:marBottom w:val="0"/>
      <w:divBdr>
        <w:top w:val="none" w:sz="0" w:space="0" w:color="auto"/>
        <w:left w:val="none" w:sz="0" w:space="0" w:color="auto"/>
        <w:bottom w:val="none" w:sz="0" w:space="0" w:color="auto"/>
        <w:right w:val="none" w:sz="0" w:space="0" w:color="auto"/>
      </w:divBdr>
      <w:divsChild>
        <w:div w:id="203935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0014">
              <w:marLeft w:val="0"/>
              <w:marRight w:val="0"/>
              <w:marTop w:val="0"/>
              <w:marBottom w:val="0"/>
              <w:divBdr>
                <w:top w:val="none" w:sz="0" w:space="0" w:color="auto"/>
                <w:left w:val="none" w:sz="0" w:space="0" w:color="auto"/>
                <w:bottom w:val="none" w:sz="0" w:space="0" w:color="auto"/>
                <w:right w:val="none" w:sz="0" w:space="0" w:color="auto"/>
              </w:divBdr>
              <w:divsChild>
                <w:div w:id="150026005">
                  <w:marLeft w:val="0"/>
                  <w:marRight w:val="0"/>
                  <w:marTop w:val="0"/>
                  <w:marBottom w:val="0"/>
                  <w:divBdr>
                    <w:top w:val="none" w:sz="0" w:space="0" w:color="auto"/>
                    <w:left w:val="none" w:sz="0" w:space="0" w:color="auto"/>
                    <w:bottom w:val="none" w:sz="0" w:space="0" w:color="auto"/>
                    <w:right w:val="none" w:sz="0" w:space="0" w:color="auto"/>
                  </w:divBdr>
                  <w:divsChild>
                    <w:div w:id="1455248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8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371639">
      <w:bodyDiv w:val="1"/>
      <w:marLeft w:val="0"/>
      <w:marRight w:val="0"/>
      <w:marTop w:val="0"/>
      <w:marBottom w:val="0"/>
      <w:divBdr>
        <w:top w:val="none" w:sz="0" w:space="0" w:color="auto"/>
        <w:left w:val="none" w:sz="0" w:space="0" w:color="auto"/>
        <w:bottom w:val="none" w:sz="0" w:space="0" w:color="auto"/>
        <w:right w:val="none" w:sz="0" w:space="0" w:color="auto"/>
      </w:divBdr>
    </w:div>
    <w:div w:id="1780487592">
      <w:bodyDiv w:val="1"/>
      <w:marLeft w:val="0"/>
      <w:marRight w:val="0"/>
      <w:marTop w:val="0"/>
      <w:marBottom w:val="0"/>
      <w:divBdr>
        <w:top w:val="none" w:sz="0" w:space="0" w:color="auto"/>
        <w:left w:val="none" w:sz="0" w:space="0" w:color="auto"/>
        <w:bottom w:val="none" w:sz="0" w:space="0" w:color="auto"/>
        <w:right w:val="none" w:sz="0" w:space="0" w:color="auto"/>
      </w:divBdr>
      <w:divsChild>
        <w:div w:id="1082873336">
          <w:marLeft w:val="360"/>
          <w:marRight w:val="0"/>
          <w:marTop w:val="200"/>
          <w:marBottom w:val="0"/>
          <w:divBdr>
            <w:top w:val="none" w:sz="0" w:space="0" w:color="auto"/>
            <w:left w:val="none" w:sz="0" w:space="0" w:color="auto"/>
            <w:bottom w:val="none" w:sz="0" w:space="0" w:color="auto"/>
            <w:right w:val="none" w:sz="0" w:space="0" w:color="auto"/>
          </w:divBdr>
        </w:div>
        <w:div w:id="339310696">
          <w:marLeft w:val="360"/>
          <w:marRight w:val="0"/>
          <w:marTop w:val="200"/>
          <w:marBottom w:val="0"/>
          <w:divBdr>
            <w:top w:val="none" w:sz="0" w:space="0" w:color="auto"/>
            <w:left w:val="none" w:sz="0" w:space="0" w:color="auto"/>
            <w:bottom w:val="none" w:sz="0" w:space="0" w:color="auto"/>
            <w:right w:val="none" w:sz="0" w:space="0" w:color="auto"/>
          </w:divBdr>
        </w:div>
        <w:div w:id="1667855691">
          <w:marLeft w:val="360"/>
          <w:marRight w:val="0"/>
          <w:marTop w:val="200"/>
          <w:marBottom w:val="0"/>
          <w:divBdr>
            <w:top w:val="none" w:sz="0" w:space="0" w:color="auto"/>
            <w:left w:val="none" w:sz="0" w:space="0" w:color="auto"/>
            <w:bottom w:val="none" w:sz="0" w:space="0" w:color="auto"/>
            <w:right w:val="none" w:sz="0" w:space="0" w:color="auto"/>
          </w:divBdr>
        </w:div>
        <w:div w:id="652687463">
          <w:marLeft w:val="360"/>
          <w:marRight w:val="0"/>
          <w:marTop w:val="200"/>
          <w:marBottom w:val="0"/>
          <w:divBdr>
            <w:top w:val="none" w:sz="0" w:space="0" w:color="auto"/>
            <w:left w:val="none" w:sz="0" w:space="0" w:color="auto"/>
            <w:bottom w:val="none" w:sz="0" w:space="0" w:color="auto"/>
            <w:right w:val="none" w:sz="0" w:space="0" w:color="auto"/>
          </w:divBdr>
        </w:div>
      </w:divsChild>
    </w:div>
    <w:div w:id="204663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4hglobalgrantsprogram.org" TargetMode="External" Id="rId8" /><Relationship Type="http://schemas.openxmlformats.org/officeDocument/2006/relationships/hyperlink" Target="https://www.who.int/"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d4hglobalgrantsprogram.org/" TargetMode="External" Id="rId7" /><Relationship Type="http://schemas.openxmlformats.org/officeDocument/2006/relationships/hyperlink" Target="https://www.jhsph.edu/"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advocacyincubator.org/"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s://www.cdcfoundation.org/" TargetMode="External" Id="rId10" /><Relationship Type="http://schemas.openxmlformats.org/officeDocument/2006/relationships/webSettings" Target="webSettings.xml" Id="rId4" /><Relationship Type="http://schemas.openxmlformats.org/officeDocument/2006/relationships/hyperlink" Target="https://www.vitalstrategies.org/" TargetMode="External" Id="rId9" /><Relationship Type="http://schemas.openxmlformats.org/officeDocument/2006/relationships/hyperlink" Target="https://www.d4hglobalgrantsprogram.org/process" TargetMode="Externa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 Gutierrez</dc:creator>
  <keywords/>
  <dc:description/>
  <lastModifiedBy>Lara Tabac</lastModifiedBy>
  <revision>4</revision>
  <dcterms:created xsi:type="dcterms:W3CDTF">2021-10-12T19:08:00.0000000Z</dcterms:created>
  <dcterms:modified xsi:type="dcterms:W3CDTF">2021-10-18T13:37:26.2153292Z</dcterms:modified>
</coreProperties>
</file>