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790F" w14:textId="2183F925" w:rsidR="003E72BD" w:rsidRPr="003558C4" w:rsidRDefault="0086186F" w:rsidP="003558C4">
      <w:pPr>
        <w:pStyle w:val="Heading1"/>
        <w:spacing w:before="120" w:after="240" w:line="240" w:lineRule="auto"/>
        <w:ind w:right="-5126"/>
      </w:pPr>
      <w:r>
        <w:t>Ghana</w:t>
      </w:r>
    </w:p>
    <w:tbl>
      <w:tblPr>
        <w:tblStyle w:val="TableGrid"/>
        <w:tblpPr w:leftFromText="180" w:rightFromText="180" w:vertAnchor="text" w:horzAnchor="margin" w:tblpY="-54"/>
        <w:tblW w:w="9521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5"/>
        <w:gridCol w:w="7546"/>
      </w:tblGrid>
      <w:tr w:rsidR="003E72BD" w:rsidRPr="0097568F" w14:paraId="04E29139" w14:textId="77777777" w:rsidTr="003558C4">
        <w:tc>
          <w:tcPr>
            <w:tcW w:w="197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76F5C49F" w14:textId="5FCC8BB4" w:rsidR="003E72BD" w:rsidRPr="0097568F" w:rsidRDefault="008D3623" w:rsidP="006D17C3">
            <w:pPr>
              <w:pStyle w:val="Heading1"/>
              <w:spacing w:line="240" w:lineRule="auto"/>
              <w:jc w:val="left"/>
              <w:rPr>
                <w:sz w:val="16"/>
                <w:szCs w:val="16"/>
              </w:rPr>
            </w:pPr>
            <w:r w:rsidRPr="0097568F">
              <w:rPr>
                <w:sz w:val="16"/>
                <w:szCs w:val="16"/>
              </w:rPr>
              <w:t>Institutional Partner</w:t>
            </w:r>
          </w:p>
        </w:tc>
        <w:tc>
          <w:tcPr>
            <w:tcW w:w="7546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vAlign w:val="center"/>
          </w:tcPr>
          <w:p w14:paraId="4D8510CE" w14:textId="568AAA38" w:rsidR="003E72BD" w:rsidRPr="0097568F" w:rsidRDefault="0086186F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Ghana </w:t>
            </w:r>
            <w:r w:rsidR="00CC4F3A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>Health</w:t>
            </w:r>
            <w:r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Service</w:t>
            </w:r>
            <w:r w:rsidR="00CC4F3A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and </w:t>
            </w:r>
            <w:r w:rsidR="006174F9">
              <w:rPr>
                <w:b w:val="0"/>
                <w:bCs w:val="0"/>
                <w:color w:val="000000" w:themeColor="text1"/>
                <w:sz w:val="16"/>
                <w:szCs w:val="16"/>
              </w:rPr>
              <w:t>US Centers for Disease Control and Prevention</w:t>
            </w:r>
            <w:r w:rsidR="000E661D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(CDC)</w:t>
            </w:r>
          </w:p>
        </w:tc>
      </w:tr>
      <w:tr w:rsidR="003E72BD" w:rsidRPr="0097568F" w14:paraId="208E7F2F" w14:textId="77777777" w:rsidTr="003558C4">
        <w:tc>
          <w:tcPr>
            <w:tcW w:w="197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5A037E01" w14:textId="02F18DB2" w:rsidR="003E72BD" w:rsidRPr="0097568F" w:rsidRDefault="003E72BD" w:rsidP="006D17C3">
            <w:pPr>
              <w:pStyle w:val="Heading1"/>
              <w:spacing w:line="240" w:lineRule="auto"/>
              <w:jc w:val="left"/>
              <w:rPr>
                <w:sz w:val="16"/>
                <w:szCs w:val="16"/>
              </w:rPr>
            </w:pPr>
            <w:r w:rsidRPr="0097568F">
              <w:rPr>
                <w:sz w:val="16"/>
                <w:szCs w:val="16"/>
              </w:rPr>
              <w:t>Project dates</w:t>
            </w:r>
          </w:p>
        </w:tc>
        <w:tc>
          <w:tcPr>
            <w:tcW w:w="7546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vAlign w:val="center"/>
          </w:tcPr>
          <w:p w14:paraId="5305CCCC" w14:textId="6528DE17" w:rsidR="003E72BD" w:rsidRPr="0097568F" w:rsidRDefault="003E72BD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July </w:t>
            </w:r>
            <w:r w:rsidR="0097594D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>31</w:t>
            </w:r>
            <w:r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, 2019 – </w:t>
            </w:r>
            <w:r w:rsidR="0086186F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0097594D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>January</w:t>
            </w:r>
            <w:r w:rsidR="0086186F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r w:rsidR="00F53204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>3</w:t>
            </w:r>
            <w:r w:rsidR="0086186F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>1, 2021</w:t>
            </w:r>
          </w:p>
        </w:tc>
      </w:tr>
      <w:tr w:rsidR="004D781A" w:rsidRPr="0097568F" w14:paraId="75934616" w14:textId="77777777" w:rsidTr="003558C4">
        <w:tc>
          <w:tcPr>
            <w:tcW w:w="197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76A63562" w14:textId="67A466B6" w:rsidR="004D781A" w:rsidRPr="0097568F" w:rsidRDefault="004D781A" w:rsidP="006D17C3">
            <w:pPr>
              <w:pStyle w:val="Heading1"/>
              <w:spacing w:line="240" w:lineRule="auto"/>
              <w:jc w:val="left"/>
              <w:rPr>
                <w:sz w:val="16"/>
                <w:szCs w:val="16"/>
              </w:rPr>
            </w:pPr>
            <w:r w:rsidRPr="0097568F">
              <w:rPr>
                <w:sz w:val="16"/>
                <w:szCs w:val="16"/>
              </w:rPr>
              <w:t>Project Title</w:t>
            </w:r>
          </w:p>
        </w:tc>
        <w:tc>
          <w:tcPr>
            <w:tcW w:w="7546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vAlign w:val="center"/>
          </w:tcPr>
          <w:p w14:paraId="615ADB13" w14:textId="0ADAA4AE" w:rsidR="004D781A" w:rsidRPr="0097568F" w:rsidRDefault="00942B5D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>Ghana Weekly Epidemiological Report</w:t>
            </w:r>
            <w:r w:rsidR="00260169" w:rsidRPr="0097568F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 App Development and Launch</w:t>
            </w:r>
          </w:p>
        </w:tc>
      </w:tr>
    </w:tbl>
    <w:p w14:paraId="28F4E806" w14:textId="4A335BCF" w:rsidR="003E72BD" w:rsidRPr="007036EB" w:rsidRDefault="003E72BD" w:rsidP="007036EB">
      <w:pPr>
        <w:spacing w:line="240" w:lineRule="auto"/>
        <w:rPr>
          <w:b/>
          <w:bCs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1"/>
        <w:tblOverlap w:val="never"/>
        <w:tblW w:w="9504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495"/>
        <w:gridCol w:w="5009"/>
      </w:tblGrid>
      <w:tr w:rsidR="003E72BD" w:rsidRPr="00040AFD" w14:paraId="601ED2BC" w14:textId="3347CFA5" w:rsidTr="0097568F">
        <w:trPr>
          <w:trHeight w:val="144"/>
        </w:trPr>
        <w:tc>
          <w:tcPr>
            <w:tcW w:w="449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4E2ED3A3" w14:textId="6823E459" w:rsidR="003E72BD" w:rsidRPr="0097568F" w:rsidRDefault="00040AFD" w:rsidP="0097568F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97568F">
              <w:rPr>
                <w:b/>
                <w:bCs/>
                <w:color w:val="001689" w:themeColor="accent5"/>
                <w:sz w:val="16"/>
                <w:szCs w:val="16"/>
              </w:rPr>
              <w:t>Project Objectives</w:t>
            </w:r>
          </w:p>
        </w:tc>
        <w:tc>
          <w:tcPr>
            <w:tcW w:w="5009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64F5C79A" w14:textId="20DD7E8A" w:rsidR="003E72BD" w:rsidRPr="0097568F" w:rsidRDefault="0030481E" w:rsidP="0097568F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97568F">
              <w:rPr>
                <w:b/>
                <w:bCs/>
                <w:color w:val="001689" w:themeColor="accent5"/>
                <w:sz w:val="16"/>
                <w:szCs w:val="16"/>
              </w:rPr>
              <w:t>Project Outcomes and Impact</w:t>
            </w:r>
          </w:p>
        </w:tc>
      </w:tr>
      <w:tr w:rsidR="003E72BD" w:rsidRPr="00040AFD" w14:paraId="0558C3BB" w14:textId="43F756E8" w:rsidTr="0097568F">
        <w:trPr>
          <w:trHeight w:val="1585"/>
        </w:trPr>
        <w:tc>
          <w:tcPr>
            <w:tcW w:w="449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19874D24" w14:textId="0DCF7EFF" w:rsidR="00CD1A91" w:rsidRPr="007326F8" w:rsidRDefault="00260169" w:rsidP="0097568F">
            <w:pPr>
              <w:numPr>
                <w:ilvl w:val="0"/>
                <w:numId w:val="21"/>
              </w:numPr>
              <w:ind w:left="158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</w:t>
            </w:r>
            <w:r w:rsidR="00387831"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t>application to host the Ghana Weekly Epidemiological Report</w:t>
            </w:r>
            <w:r w:rsidR="004F0D99">
              <w:rPr>
                <w:sz w:val="16"/>
                <w:szCs w:val="16"/>
              </w:rPr>
              <w:t xml:space="preserve"> (GWER)</w:t>
            </w:r>
            <w:r>
              <w:rPr>
                <w:sz w:val="16"/>
                <w:szCs w:val="16"/>
              </w:rPr>
              <w:t xml:space="preserve">, increasing the </w:t>
            </w:r>
            <w:r w:rsidR="00DF326C">
              <w:rPr>
                <w:sz w:val="16"/>
                <w:szCs w:val="16"/>
              </w:rPr>
              <w:t>scientific journal’s</w:t>
            </w:r>
            <w:r>
              <w:rPr>
                <w:sz w:val="16"/>
                <w:szCs w:val="16"/>
              </w:rPr>
              <w:t xml:space="preserve"> readership</w:t>
            </w:r>
            <w:r w:rsidR="00387831">
              <w:rPr>
                <w:sz w:val="16"/>
                <w:szCs w:val="16"/>
              </w:rPr>
              <w:t xml:space="preserve"> by housing all of its content within a single platform that is readily accessible by </w:t>
            </w:r>
            <w:r w:rsidR="0053487D">
              <w:rPr>
                <w:sz w:val="16"/>
                <w:szCs w:val="16"/>
              </w:rPr>
              <w:t>physicians</w:t>
            </w:r>
            <w:r w:rsidR="007326F8">
              <w:rPr>
                <w:sz w:val="16"/>
                <w:szCs w:val="16"/>
              </w:rPr>
              <w:t>, epidemiologists and other health professionals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09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4987B618" w14:textId="0E400BE9" w:rsidR="00F90A17" w:rsidRDefault="0082190E" w:rsidP="0097568F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 w:rsidRPr="0082190E">
              <w:rPr>
                <w:sz w:val="16"/>
                <w:szCs w:val="16"/>
              </w:rPr>
              <w:t xml:space="preserve">Developed a web application to integrate the </w:t>
            </w:r>
            <w:r w:rsidR="006174F9">
              <w:rPr>
                <w:sz w:val="16"/>
                <w:szCs w:val="16"/>
              </w:rPr>
              <w:t>GWER</w:t>
            </w:r>
            <w:r>
              <w:rPr>
                <w:sz w:val="16"/>
                <w:szCs w:val="16"/>
              </w:rPr>
              <w:t xml:space="preserve"> </w:t>
            </w:r>
            <w:r w:rsidRPr="0082190E">
              <w:rPr>
                <w:sz w:val="16"/>
                <w:szCs w:val="16"/>
              </w:rPr>
              <w:t xml:space="preserve">onto an interactive media platform. </w:t>
            </w:r>
          </w:p>
          <w:p w14:paraId="02CDD4B5" w14:textId="7DD69779" w:rsidR="00B40EA4" w:rsidRPr="008F019E" w:rsidRDefault="0082190E" w:rsidP="0097568F">
            <w:pPr>
              <w:numPr>
                <w:ilvl w:val="1"/>
                <w:numId w:val="21"/>
              </w:numPr>
              <w:ind w:left="360" w:hanging="180"/>
              <w:rPr>
                <w:sz w:val="16"/>
                <w:szCs w:val="16"/>
              </w:rPr>
            </w:pPr>
            <w:r w:rsidRPr="0082190E">
              <w:rPr>
                <w:sz w:val="16"/>
                <w:szCs w:val="16"/>
              </w:rPr>
              <w:t>The platform allows users to download</w:t>
            </w:r>
            <w:r>
              <w:rPr>
                <w:sz w:val="16"/>
                <w:szCs w:val="16"/>
              </w:rPr>
              <w:t xml:space="preserve"> GWER</w:t>
            </w:r>
            <w:r w:rsidRPr="0082190E">
              <w:rPr>
                <w:sz w:val="16"/>
                <w:szCs w:val="16"/>
              </w:rPr>
              <w:t xml:space="preserve"> journals to be read offline at a later date, as well as the ability to subscribe to the journal and receive timely notifications of recent uploads</w:t>
            </w:r>
            <w:r>
              <w:rPr>
                <w:sz w:val="16"/>
                <w:szCs w:val="16"/>
              </w:rPr>
              <w:t xml:space="preserve">.  </w:t>
            </w:r>
            <w:r w:rsidR="00B40EA4" w:rsidRPr="008F019E">
              <w:rPr>
                <w:sz w:val="16"/>
                <w:szCs w:val="16"/>
              </w:rPr>
              <w:t xml:space="preserve"> </w:t>
            </w:r>
          </w:p>
        </w:tc>
      </w:tr>
    </w:tbl>
    <w:p w14:paraId="692B9674" w14:textId="45670CEA" w:rsidR="003E72BD" w:rsidRPr="007036EB" w:rsidRDefault="003E72BD" w:rsidP="007036EB">
      <w:pPr>
        <w:spacing w:line="240" w:lineRule="auto"/>
        <w:rPr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9504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504"/>
      </w:tblGrid>
      <w:tr w:rsidR="003E72BD" w:rsidRPr="00040AFD" w14:paraId="7FEA5134" w14:textId="77777777" w:rsidTr="0097568F">
        <w:trPr>
          <w:trHeight w:val="144"/>
        </w:trPr>
        <w:tc>
          <w:tcPr>
            <w:tcW w:w="9504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182288E4" w14:textId="0945361E" w:rsidR="003E72BD" w:rsidRPr="00040AFD" w:rsidRDefault="00F90A17" w:rsidP="0097568F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 w:rsidRPr="0097568F">
              <w:rPr>
                <w:b/>
                <w:bCs/>
                <w:color w:val="001689" w:themeColor="accent5"/>
                <w:sz w:val="16"/>
                <w:szCs w:val="16"/>
              </w:rPr>
              <w:t>Project</w:t>
            </w:r>
            <w:r w:rsidR="00D03F99" w:rsidRPr="0097568F">
              <w:rPr>
                <w:b/>
                <w:bCs/>
                <w:color w:val="001689" w:themeColor="accent5"/>
                <w:sz w:val="16"/>
                <w:szCs w:val="16"/>
              </w:rPr>
              <w:t xml:space="preserve"> Sustainability</w:t>
            </w:r>
          </w:p>
        </w:tc>
      </w:tr>
      <w:tr w:rsidR="003E72BD" w:rsidRPr="003E72BD" w14:paraId="16D89090" w14:textId="77777777" w:rsidTr="0097568F">
        <w:trPr>
          <w:trHeight w:val="610"/>
        </w:trPr>
        <w:tc>
          <w:tcPr>
            <w:tcW w:w="9504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61E4853E" w14:textId="5E7C81D2" w:rsidR="00BB2F92" w:rsidRPr="00CE0303" w:rsidRDefault="008E60FA" w:rsidP="0097568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GWER App is linked to the Continued Professional Development platform, managed by the Ghana College of Physicians. Users of this application will have access to </w:t>
            </w:r>
            <w:r w:rsidR="000E661D">
              <w:rPr>
                <w:sz w:val="16"/>
                <w:szCs w:val="16"/>
              </w:rPr>
              <w:t xml:space="preserve">the </w:t>
            </w:r>
            <w:r w:rsidR="006174F9">
              <w:rPr>
                <w:sz w:val="16"/>
                <w:szCs w:val="16"/>
              </w:rPr>
              <w:t xml:space="preserve">Weekly </w:t>
            </w:r>
            <w:r w:rsidR="000E661D">
              <w:rPr>
                <w:sz w:val="16"/>
                <w:szCs w:val="16"/>
              </w:rPr>
              <w:t xml:space="preserve">Epidemiological </w:t>
            </w:r>
            <w:r w:rsidR="006174F9">
              <w:rPr>
                <w:sz w:val="16"/>
                <w:szCs w:val="16"/>
              </w:rPr>
              <w:t xml:space="preserve">Review as well as </w:t>
            </w:r>
            <w:r>
              <w:rPr>
                <w:sz w:val="16"/>
                <w:szCs w:val="16"/>
              </w:rPr>
              <w:t xml:space="preserve">the </w:t>
            </w:r>
            <w:r w:rsidR="00855729">
              <w:rPr>
                <w:sz w:val="16"/>
                <w:szCs w:val="16"/>
              </w:rPr>
              <w:t>Continued Professional Development</w:t>
            </w:r>
            <w:r>
              <w:rPr>
                <w:sz w:val="16"/>
                <w:szCs w:val="16"/>
              </w:rPr>
              <w:t xml:space="preserve"> platform, and vice versa, providing a constant </w:t>
            </w:r>
            <w:r w:rsidR="00855729">
              <w:rPr>
                <w:sz w:val="16"/>
                <w:szCs w:val="16"/>
              </w:rPr>
              <w:t>influx</w:t>
            </w:r>
            <w:r>
              <w:rPr>
                <w:sz w:val="16"/>
                <w:szCs w:val="16"/>
              </w:rPr>
              <w:t xml:space="preserve"> of readers. </w:t>
            </w:r>
          </w:p>
        </w:tc>
      </w:tr>
    </w:tbl>
    <w:p w14:paraId="019AEC2E" w14:textId="4CBECAF9" w:rsidR="00FB49FC" w:rsidRDefault="000E661D" w:rsidP="007036EB">
      <w:pPr>
        <w:spacing w:line="240" w:lineRule="auto"/>
        <w:rPr>
          <w:color w:val="404040" w:themeColor="text1" w:themeTint="BF"/>
          <w:sz w:val="18"/>
          <w:szCs w:val="18"/>
        </w:rPr>
      </w:pPr>
      <w:r w:rsidRPr="00BF49D9">
        <w:rPr>
          <w:b/>
          <w:bCs/>
          <w:noProof/>
          <w:color w:val="3B3838" w:themeColor="background2" w:themeShade="4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E289251" wp14:editId="087DD660">
            <wp:simplePos x="0" y="0"/>
            <wp:positionH relativeFrom="column">
              <wp:posOffset>-227281</wp:posOffset>
            </wp:positionH>
            <wp:positionV relativeFrom="paragraph">
              <wp:posOffset>1499186</wp:posOffset>
            </wp:positionV>
            <wp:extent cx="1169377" cy="1169377"/>
            <wp:effectExtent l="0" t="0" r="0" b="0"/>
            <wp:wrapNone/>
            <wp:docPr id="8" name="Graphic 8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77" cy="116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tblpY="1"/>
        <w:tblOverlap w:val="never"/>
        <w:tblW w:w="9504" w:type="dxa"/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315"/>
        <w:gridCol w:w="5189"/>
      </w:tblGrid>
      <w:tr w:rsidR="00FB49FC" w:rsidRPr="00040AFD" w14:paraId="11CD8481" w14:textId="77777777" w:rsidTr="0097568F">
        <w:trPr>
          <w:trHeight w:val="144"/>
        </w:trPr>
        <w:tc>
          <w:tcPr>
            <w:tcW w:w="9504" w:type="dxa"/>
            <w:gridSpan w:val="2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single" w:sz="4" w:space="0" w:color="001689" w:themeColor="accent5"/>
            </w:tcBorders>
            <w:shd w:val="clear" w:color="auto" w:fill="E6E9F4"/>
          </w:tcPr>
          <w:p w14:paraId="28384576" w14:textId="0659D76D" w:rsidR="00FB49FC" w:rsidRPr="00040AFD" w:rsidRDefault="00FB49FC" w:rsidP="0097568F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 w:rsidRPr="0097568F">
              <w:rPr>
                <w:b/>
                <w:bCs/>
                <w:color w:val="001689" w:themeColor="accent5"/>
                <w:sz w:val="16"/>
                <w:szCs w:val="16"/>
              </w:rPr>
              <w:t>Project Outputs</w:t>
            </w:r>
          </w:p>
        </w:tc>
      </w:tr>
      <w:tr w:rsidR="00734B54" w:rsidRPr="003E72BD" w14:paraId="1758890B" w14:textId="77777777" w:rsidTr="0097568F">
        <w:trPr>
          <w:trHeight w:val="193"/>
        </w:trPr>
        <w:tc>
          <w:tcPr>
            <w:tcW w:w="4315" w:type="dxa"/>
            <w:tcBorders>
              <w:top w:val="single" w:sz="4" w:space="0" w:color="001689" w:themeColor="accent5"/>
              <w:left w:val="single" w:sz="4" w:space="0" w:color="001689" w:themeColor="accent5"/>
              <w:bottom w:val="single" w:sz="4" w:space="0" w:color="001689" w:themeColor="accent5"/>
              <w:right w:val="nil"/>
            </w:tcBorders>
          </w:tcPr>
          <w:p w14:paraId="431FC166" w14:textId="2A6E2D3D" w:rsidR="00734B54" w:rsidRDefault="005214FD" w:rsidP="0097568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hyperlink r:id="rId10" w:history="1">
              <w:r w:rsidR="0094691B" w:rsidRPr="0094691B">
                <w:rPr>
                  <w:rStyle w:val="Hyperlink"/>
                  <w:sz w:val="16"/>
                  <w:szCs w:val="16"/>
                </w:rPr>
                <w:t>GWER App</w:t>
              </w:r>
            </w:hyperlink>
          </w:p>
        </w:tc>
        <w:tc>
          <w:tcPr>
            <w:tcW w:w="5189" w:type="dxa"/>
            <w:tcBorders>
              <w:top w:val="single" w:sz="4" w:space="0" w:color="001689" w:themeColor="accent5"/>
              <w:left w:val="nil"/>
              <w:bottom w:val="single" w:sz="4" w:space="0" w:color="001689" w:themeColor="accent5"/>
              <w:right w:val="single" w:sz="4" w:space="0" w:color="001689" w:themeColor="accent5"/>
            </w:tcBorders>
          </w:tcPr>
          <w:p w14:paraId="5618FAC0" w14:textId="3172618D" w:rsidR="00734B54" w:rsidRPr="00FB49FC" w:rsidRDefault="00734B54" w:rsidP="0097568F">
            <w:pPr>
              <w:rPr>
                <w:sz w:val="16"/>
                <w:szCs w:val="16"/>
              </w:rPr>
            </w:pPr>
          </w:p>
        </w:tc>
      </w:tr>
    </w:tbl>
    <w:p w14:paraId="5F21B7A8" w14:textId="7F892E36" w:rsidR="0081293D" w:rsidRDefault="0081293D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109A6388" w14:textId="7A352A2E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A83A10B" w14:textId="0048C182" w:rsidR="0081293D" w:rsidRDefault="000E661D" w:rsidP="006A4F36">
      <w:pPr>
        <w:rPr>
          <w:b/>
          <w:bCs/>
          <w:color w:val="3B3838" w:themeColor="background2" w:themeShade="40"/>
          <w:sz w:val="16"/>
          <w:szCs w:val="16"/>
        </w:rPr>
      </w:pPr>
      <w:r w:rsidRPr="00BF49D9">
        <w:rPr>
          <w:b/>
          <w:bCs/>
          <w:noProof/>
          <w:color w:val="3B3838" w:themeColor="background2" w:themeShade="4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737570E" wp14:editId="7E12E9ED">
            <wp:simplePos x="0" y="0"/>
            <wp:positionH relativeFrom="column">
              <wp:posOffset>1958975</wp:posOffset>
            </wp:positionH>
            <wp:positionV relativeFrom="paragraph">
              <wp:posOffset>33313</wp:posOffset>
            </wp:positionV>
            <wp:extent cx="4068947" cy="2282190"/>
            <wp:effectExtent l="19050" t="19050" r="27305" b="228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947" cy="2282190"/>
                    </a:xfrm>
                    <a:prstGeom prst="rect">
                      <a:avLst/>
                    </a:prstGeom>
                    <a:ln w="3175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4F9" w:rsidRPr="00BF49D9">
        <w:rPr>
          <w:b/>
          <w:bCs/>
          <w:noProof/>
          <w:color w:val="3B3838" w:themeColor="background2" w:themeShade="4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33850" wp14:editId="3338AF54">
                <wp:simplePos x="0" y="0"/>
                <wp:positionH relativeFrom="column">
                  <wp:posOffset>67456</wp:posOffset>
                </wp:positionH>
                <wp:positionV relativeFrom="paragraph">
                  <wp:posOffset>10348</wp:posOffset>
                </wp:positionV>
                <wp:extent cx="1790700" cy="311373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3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012F" w14:textId="6D063BA4" w:rsidR="00BF49D9" w:rsidRPr="000E5872" w:rsidRDefault="00BF49D9" w:rsidP="00BF49D9">
                            <w:pPr>
                              <w:pStyle w:val="Heading4"/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00863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Ghana Weekly Epidemiological Report… </w:t>
                            </w:r>
                            <w:r w:rsidRPr="00BB13B1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publishes reports of public health interest and importance to the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Ghana Health Service</w:t>
                            </w:r>
                            <w:r w:rsidRPr="00BB13B1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Veterinary Health Service</w:t>
                            </w:r>
                            <w:r w:rsidRPr="00BB13B1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constituents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BB13B1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thereby </w:t>
                            </w:r>
                            <w:r w:rsidRPr="000E5872">
                              <w:rPr>
                                <w:rFonts w:ascii="Helvetica" w:hAnsi="Helvetica" w:cs="Helvetica"/>
                                <w:i/>
                                <w:iCs/>
                                <w:color w:val="00863D"/>
                                <w:sz w:val="20"/>
                                <w:szCs w:val="20"/>
                              </w:rPr>
                              <w:t>informing its readership of the developments in the health sector in Ghana.</w:t>
                            </w:r>
                            <w:r w:rsidR="001470EE" w:rsidRPr="000E5872">
                              <w:rPr>
                                <w:rFonts w:ascii="Helvetica" w:hAnsi="Helvetica" w:cs="Helvetica"/>
                                <w:i/>
                                <w:iCs/>
                                <w:color w:val="00863D"/>
                                <w:sz w:val="20"/>
                                <w:szCs w:val="20"/>
                              </w:rPr>
                              <w:t xml:space="preserve"> The App notifies readers of updates and new issues</w:t>
                            </w:r>
                            <w:r w:rsidR="006174F9" w:rsidRPr="000E5872">
                              <w:rPr>
                                <w:rFonts w:ascii="Helvetica" w:hAnsi="Helvetica" w:cs="Helvetica"/>
                                <w:i/>
                                <w:iCs/>
                                <w:color w:val="00863D"/>
                                <w:sz w:val="20"/>
                                <w:szCs w:val="20"/>
                              </w:rPr>
                              <w:t>.</w:t>
                            </w:r>
                            <w:r w:rsidRPr="000E5872">
                              <w:rPr>
                                <w:rFonts w:ascii="Helvetica" w:hAnsi="Helvetica" w:cs="Helvetica"/>
                                <w:i/>
                                <w:iCs/>
                                <w:color w:val="00863D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7E381F4B" w14:textId="77777777" w:rsidR="00BF49D9" w:rsidRPr="00883827" w:rsidRDefault="00BF49D9" w:rsidP="00BF49D9">
                            <w:pPr>
                              <w:spacing w:before="120" w:line="240" w:lineRule="auto"/>
                            </w:pPr>
                          </w:p>
                          <w:p w14:paraId="4A157B6E" w14:textId="77777777" w:rsidR="00BF49D9" w:rsidRDefault="00BF49D9" w:rsidP="00BF49D9">
                            <w:pPr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D6E8A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Ken Ofosu-Barko, MD</w:t>
                            </w:r>
                          </w:p>
                          <w:p w14:paraId="352D0D31" w14:textId="77777777" w:rsidR="00BF49D9" w:rsidRPr="00862FDA" w:rsidRDefault="00BF49D9" w:rsidP="00BF49D9">
                            <w:pPr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Editor-in-Chief, GWER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33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.8pt;width:141pt;height:24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" filled="f" stroked="f">
                <v:textbox>
                  <w:txbxContent>
                    <w:p w14:paraId="0316012F" w14:textId="6D063BA4" w:rsidR="00BF49D9" w:rsidRPr="000E5872" w:rsidRDefault="00BF49D9" w:rsidP="00BF49D9">
                      <w:pPr>
                        <w:pStyle w:val="Heading4"/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00863D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The Ghana Weekly Epidemiological Report… </w:t>
                      </w:r>
                      <w:r w:rsidRPr="00BB13B1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publishes reports of public health interest and importance to the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Ghana Health Service</w:t>
                      </w:r>
                      <w:r w:rsidRPr="00BB13B1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Veterinary Health Service</w:t>
                      </w:r>
                      <w:r w:rsidRPr="00BB13B1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 constituents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BB13B1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 thereby </w:t>
                      </w:r>
                      <w:r w:rsidRPr="000E5872">
                        <w:rPr>
                          <w:rFonts w:ascii="Helvetica" w:hAnsi="Helvetica" w:cs="Helvetica"/>
                          <w:i/>
                          <w:iCs/>
                          <w:color w:val="00863D"/>
                          <w:sz w:val="20"/>
                          <w:szCs w:val="20"/>
                        </w:rPr>
                        <w:t>informing its readership of the developments in the health sector in Ghana.</w:t>
                      </w:r>
                      <w:r w:rsidR="001470EE" w:rsidRPr="000E5872">
                        <w:rPr>
                          <w:rFonts w:ascii="Helvetica" w:hAnsi="Helvetica" w:cs="Helvetica"/>
                          <w:i/>
                          <w:iCs/>
                          <w:color w:val="00863D"/>
                          <w:sz w:val="20"/>
                          <w:szCs w:val="20"/>
                        </w:rPr>
                        <w:t xml:space="preserve"> The App notifies readers of updates and new issues</w:t>
                      </w:r>
                      <w:r w:rsidR="006174F9" w:rsidRPr="000E5872">
                        <w:rPr>
                          <w:rFonts w:ascii="Helvetica" w:hAnsi="Helvetica" w:cs="Helvetica"/>
                          <w:i/>
                          <w:iCs/>
                          <w:color w:val="00863D"/>
                          <w:sz w:val="20"/>
                          <w:szCs w:val="20"/>
                        </w:rPr>
                        <w:t>.</w:t>
                      </w:r>
                      <w:r w:rsidRPr="000E5872">
                        <w:rPr>
                          <w:rFonts w:ascii="Helvetica" w:hAnsi="Helvetica" w:cs="Helvetica"/>
                          <w:i/>
                          <w:iCs/>
                          <w:color w:val="00863D"/>
                          <w:sz w:val="20"/>
                          <w:szCs w:val="20"/>
                        </w:rPr>
                        <w:t>”</w:t>
                      </w:r>
                    </w:p>
                    <w:p w14:paraId="7E381F4B" w14:textId="77777777" w:rsidR="00BF49D9" w:rsidRPr="00883827" w:rsidRDefault="00BF49D9" w:rsidP="00BF49D9">
                      <w:pPr>
                        <w:spacing w:before="120" w:line="240" w:lineRule="auto"/>
                      </w:pPr>
                    </w:p>
                    <w:p w14:paraId="4A157B6E" w14:textId="77777777" w:rsidR="00BF49D9" w:rsidRDefault="00BF49D9" w:rsidP="00BF49D9">
                      <w:pPr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DD6E8A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Ken Ofosu-Barko, MD</w:t>
                      </w:r>
                    </w:p>
                    <w:p w14:paraId="352D0D31" w14:textId="77777777" w:rsidR="00BF49D9" w:rsidRPr="00862FDA" w:rsidRDefault="00BF49D9" w:rsidP="00BF49D9">
                      <w:pPr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  <w:t>Editor-in-Chief, GWER</w:t>
                      </w:r>
                    </w:p>
                  </w:txbxContent>
                </v:textbox>
              </v:shape>
            </w:pict>
          </mc:Fallback>
        </mc:AlternateContent>
      </w:r>
    </w:p>
    <w:p w14:paraId="3139D12D" w14:textId="2AB1C113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2F392F34" w14:textId="4B9C9966" w:rsidR="00795E28" w:rsidRDefault="007036EB" w:rsidP="006A4F36">
      <w:pPr>
        <w:rPr>
          <w:b/>
          <w:bCs/>
          <w:color w:val="3B3838" w:themeColor="background2" w:themeShade="40"/>
          <w:sz w:val="16"/>
          <w:szCs w:val="16"/>
        </w:rPr>
      </w:pP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  <w:r>
        <w:rPr>
          <w:b/>
          <w:bCs/>
          <w:color w:val="3B3838" w:themeColor="background2" w:themeShade="40"/>
          <w:sz w:val="16"/>
          <w:szCs w:val="16"/>
        </w:rPr>
        <w:tab/>
      </w:r>
    </w:p>
    <w:p w14:paraId="5B381988" w14:textId="2129231F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17459D39" w14:textId="1A002862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6814B649" w14:textId="1888FA5E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4A27A2E4" w14:textId="4BB4030A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0EF87C1" w14:textId="2C9E3A5A" w:rsidR="00795E28" w:rsidRDefault="003F7964" w:rsidP="006A4F36">
      <w:pPr>
        <w:rPr>
          <w:b/>
          <w:bCs/>
          <w:color w:val="3B3838" w:themeColor="background2" w:themeShade="4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28DD" wp14:editId="444ED490">
                <wp:simplePos x="0" y="0"/>
                <wp:positionH relativeFrom="column">
                  <wp:posOffset>1944566</wp:posOffset>
                </wp:positionH>
                <wp:positionV relativeFrom="paragraph">
                  <wp:posOffset>1148715</wp:posOffset>
                </wp:positionV>
                <wp:extent cx="4200122" cy="2378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122" cy="23788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3DB8F7" w14:textId="16C40668" w:rsidR="003F7964" w:rsidRPr="00BF49D9" w:rsidRDefault="003F7964" w:rsidP="003F7964">
                            <w:pPr>
                              <w:pStyle w:val="Caption"/>
                              <w:rPr>
                                <w:color w:val="A6A6A6" w:themeColor="background1" w:themeShade="A6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F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Ghana Weekly Epidemiological Report available for download on GWER app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28DD" id="Text Box 4" o:spid="_x0000_s1027" type="#_x0000_t202" style="position:absolute;left:0;text-align:left;margin-left:153.1pt;margin-top:90.45pt;width:330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" stroked="f">
                <v:textbox inset="0,0,0,0">
                  <w:txbxContent>
                    <w:p w14:paraId="3F3DB8F7" w14:textId="16C40668" w:rsidR="003F7964" w:rsidRPr="00BF49D9" w:rsidRDefault="003F7964" w:rsidP="003F7964">
                      <w:pPr>
                        <w:pStyle w:val="Caption"/>
                        <w:rPr>
                          <w:color w:val="A6A6A6" w:themeColor="background1" w:themeShade="A6"/>
                          <w:sz w:val="14"/>
                          <w:szCs w:val="14"/>
                          <w:u w:val="single"/>
                        </w:rPr>
                      </w:pPr>
                      <w:r w:rsidRPr="00BF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Ghana Weekly Epidemiological Report available for download on GWER app platform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E28" w:rsidSect="00256F98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40" w:right="1440" w:bottom="1440" w:left="144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FDDA" w14:textId="77777777" w:rsidR="005214FD" w:rsidRDefault="005214FD" w:rsidP="007C01C0">
      <w:r>
        <w:separator/>
      </w:r>
    </w:p>
  </w:endnote>
  <w:endnote w:type="continuationSeparator" w:id="0">
    <w:p w14:paraId="7F4CB406" w14:textId="77777777" w:rsidR="005214FD" w:rsidRDefault="005214FD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1330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7EFEF" w14:textId="489B9327" w:rsid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 w:themeColor="accent5"/>
        <w:sz w:val="18"/>
        <w:szCs w:val="18"/>
      </w:rPr>
    </w:sdtEndPr>
    <w:sdtContent>
      <w:p w14:paraId="3FAE4686" w14:textId="08439397" w:rsidR="00554740" w:rsidRP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 w:themeColor="accent5"/>
            <w:sz w:val="18"/>
            <w:szCs w:val="18"/>
          </w:rPr>
        </w:pP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begin"/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instrText xml:space="preserve"> PAGE </w:instrText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separate"/>
        </w:r>
        <w:r w:rsidRPr="00554740">
          <w:rPr>
            <w:rStyle w:val="PageNumber"/>
            <w:b/>
            <w:bCs/>
            <w:noProof/>
            <w:color w:val="001689" w:themeColor="accent5"/>
            <w:sz w:val="18"/>
            <w:szCs w:val="18"/>
          </w:rPr>
          <w:t>2</w:t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8129" w14:textId="77777777" w:rsidR="005214FD" w:rsidRDefault="005214FD" w:rsidP="007C01C0">
      <w:r>
        <w:separator/>
      </w:r>
    </w:p>
  </w:footnote>
  <w:footnote w:type="continuationSeparator" w:id="0">
    <w:p w14:paraId="515E3F51" w14:textId="77777777" w:rsidR="005214FD" w:rsidRDefault="005214FD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99A0" w14:textId="2CBFD0AC" w:rsidR="00752D61" w:rsidRPr="00271251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 w:themeColor="background2" w:themeShade="E6"/>
        <w:szCs w:val="18"/>
      </w:rPr>
    </w:pPr>
    <w:r w:rsidRPr="00A26C28">
      <w:rPr>
        <w:b w:val="0"/>
        <w:bCs w:val="0"/>
        <w:noProof/>
        <w:szCs w:val="18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9473F">
      <w:rPr>
        <w:color w:val="0093CB" w:themeColor="accent1"/>
      </w:rPr>
      <w:t>Global Grants Program</w:t>
    </w:r>
    <w:r w:rsidR="00752D61" w:rsidRPr="00F9473F">
      <w:rPr>
        <w:color w:val="0093CB" w:themeColor="accent1"/>
        <w:szCs w:val="18"/>
      </w:rPr>
      <w:t xml:space="preserve"> </w:t>
    </w:r>
    <w:r w:rsidR="00752D61" w:rsidRPr="002C75CF">
      <w:rPr>
        <w:b w:val="0"/>
        <w:bCs w:val="0"/>
        <w:color w:val="AEAAAA" w:themeColor="background2" w:themeShade="BF"/>
        <w:szCs w:val="18"/>
      </w:rPr>
      <w:t>·</w:t>
    </w:r>
    <w:r w:rsidR="00752D61" w:rsidRPr="002C75CF">
      <w:rPr>
        <w:color w:val="AEAAAA" w:themeColor="background2" w:themeShade="BF"/>
        <w:szCs w:val="18"/>
      </w:rPr>
      <w:t xml:space="preserve"> </w:t>
    </w:r>
    <w:r w:rsidR="00752D61" w:rsidRPr="002C75CF">
      <w:rPr>
        <w:b w:val="0"/>
        <w:bCs w:val="0"/>
        <w:color w:val="AEAAAA" w:themeColor="background2" w:themeShade="BF"/>
        <w:szCs w:val="18"/>
      </w:rPr>
      <w:t xml:space="preserve">Data for Health </w:t>
    </w:r>
    <w:r w:rsidR="00752D61">
      <w:rPr>
        <w:b w:val="0"/>
        <w:bCs w:val="0"/>
        <w:color w:val="AEAAAA" w:themeColor="background2" w:themeShade="BF"/>
        <w:szCs w:val="18"/>
      </w:rPr>
      <w:t>Initiative</w:t>
    </w:r>
    <w:r w:rsidR="00752D61">
      <w:rPr>
        <w:b w:val="0"/>
        <w:bCs w:val="0"/>
        <w:color w:val="AEAAAA" w:themeColor="background2" w:themeShade="BF"/>
        <w:szCs w:val="18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698F" w14:textId="06272422" w:rsidR="00FB433E" w:rsidRPr="00D53ACD" w:rsidRDefault="00690DB7" w:rsidP="00DE0191">
    <w:pPr>
      <w:pStyle w:val="Header"/>
      <w:jc w:val="left"/>
      <w:rPr>
        <w:b w:val="0"/>
        <w:bCs w:val="0"/>
        <w:sz w:val="20"/>
      </w:rPr>
    </w:pPr>
    <w:r>
      <w:rPr>
        <w:b w:val="0"/>
        <w:bCs w:val="0"/>
        <w:noProof/>
      </w:rPr>
      <w:drawing>
        <wp:anchor distT="0" distB="0" distL="114300" distR="114300" simplePos="0" relativeHeight="251667456" behindDoc="0" locked="0" layoutInCell="1" allowOverlap="1" wp14:anchorId="7B3C730D" wp14:editId="41922924">
          <wp:simplePos x="0" y="0"/>
          <wp:positionH relativeFrom="column">
            <wp:posOffset>-142875</wp:posOffset>
          </wp:positionH>
          <wp:positionV relativeFrom="paragraph">
            <wp:posOffset>1905</wp:posOffset>
          </wp:positionV>
          <wp:extent cx="62388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0AA8"/>
    <w:multiLevelType w:val="hybridMultilevel"/>
    <w:tmpl w:val="DA3A83D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53FB"/>
    <w:multiLevelType w:val="hybridMultilevel"/>
    <w:tmpl w:val="3CB69B7E"/>
    <w:lvl w:ilvl="0" w:tplc="0F02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8C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AD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2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69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89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4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A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83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7C2"/>
    <w:multiLevelType w:val="hybridMultilevel"/>
    <w:tmpl w:val="B8FC15AC"/>
    <w:lvl w:ilvl="0" w:tplc="3B7E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3E9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04F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3C3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C2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0EB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C4B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806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E0C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B086F"/>
    <w:multiLevelType w:val="hybridMultilevel"/>
    <w:tmpl w:val="B7220AB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B6FCE"/>
    <w:multiLevelType w:val="hybridMultilevel"/>
    <w:tmpl w:val="0FF0AD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40AFD"/>
    <w:rsid w:val="0004429D"/>
    <w:rsid w:val="000616D2"/>
    <w:rsid w:val="0006270B"/>
    <w:rsid w:val="00062E30"/>
    <w:rsid w:val="000639A5"/>
    <w:rsid w:val="00070011"/>
    <w:rsid w:val="0009160B"/>
    <w:rsid w:val="00094AB1"/>
    <w:rsid w:val="000A10B5"/>
    <w:rsid w:val="000A236D"/>
    <w:rsid w:val="000A446E"/>
    <w:rsid w:val="000A6E58"/>
    <w:rsid w:val="000B40E3"/>
    <w:rsid w:val="000B4D77"/>
    <w:rsid w:val="000C06F6"/>
    <w:rsid w:val="000C2356"/>
    <w:rsid w:val="000D32EA"/>
    <w:rsid w:val="000E11DF"/>
    <w:rsid w:val="000E5872"/>
    <w:rsid w:val="000E661D"/>
    <w:rsid w:val="000E7609"/>
    <w:rsid w:val="00115A75"/>
    <w:rsid w:val="001268E2"/>
    <w:rsid w:val="001347F2"/>
    <w:rsid w:val="001470EE"/>
    <w:rsid w:val="00147FF1"/>
    <w:rsid w:val="001525B1"/>
    <w:rsid w:val="00161222"/>
    <w:rsid w:val="00181E59"/>
    <w:rsid w:val="00190013"/>
    <w:rsid w:val="00191C32"/>
    <w:rsid w:val="001A7649"/>
    <w:rsid w:val="001B5E34"/>
    <w:rsid w:val="001B6A0F"/>
    <w:rsid w:val="001E4F8A"/>
    <w:rsid w:val="002009C1"/>
    <w:rsid w:val="0023623D"/>
    <w:rsid w:val="00237865"/>
    <w:rsid w:val="00250490"/>
    <w:rsid w:val="00254027"/>
    <w:rsid w:val="00256F98"/>
    <w:rsid w:val="00260169"/>
    <w:rsid w:val="00263544"/>
    <w:rsid w:val="002669BD"/>
    <w:rsid w:val="0027103E"/>
    <w:rsid w:val="00271251"/>
    <w:rsid w:val="00281F9A"/>
    <w:rsid w:val="002930EE"/>
    <w:rsid w:val="0029519D"/>
    <w:rsid w:val="002B1C08"/>
    <w:rsid w:val="002B6533"/>
    <w:rsid w:val="002C2255"/>
    <w:rsid w:val="002C2654"/>
    <w:rsid w:val="002C75CF"/>
    <w:rsid w:val="002C77F1"/>
    <w:rsid w:val="002D490F"/>
    <w:rsid w:val="002D7B9F"/>
    <w:rsid w:val="002E3588"/>
    <w:rsid w:val="002F026C"/>
    <w:rsid w:val="002F74D2"/>
    <w:rsid w:val="0030481E"/>
    <w:rsid w:val="003123F3"/>
    <w:rsid w:val="00314E8F"/>
    <w:rsid w:val="00323786"/>
    <w:rsid w:val="003327FD"/>
    <w:rsid w:val="0033520C"/>
    <w:rsid w:val="00354EBA"/>
    <w:rsid w:val="003558C4"/>
    <w:rsid w:val="00361B94"/>
    <w:rsid w:val="00362A16"/>
    <w:rsid w:val="00364FF5"/>
    <w:rsid w:val="003727A7"/>
    <w:rsid w:val="00374765"/>
    <w:rsid w:val="00380A96"/>
    <w:rsid w:val="003828D8"/>
    <w:rsid w:val="0038406F"/>
    <w:rsid w:val="00387831"/>
    <w:rsid w:val="00394B67"/>
    <w:rsid w:val="0039754B"/>
    <w:rsid w:val="00397F05"/>
    <w:rsid w:val="003A3389"/>
    <w:rsid w:val="003A4F8B"/>
    <w:rsid w:val="003A52AA"/>
    <w:rsid w:val="003C08E4"/>
    <w:rsid w:val="003D0ED1"/>
    <w:rsid w:val="003D32CE"/>
    <w:rsid w:val="003D6B1D"/>
    <w:rsid w:val="003E1EA1"/>
    <w:rsid w:val="003E72BD"/>
    <w:rsid w:val="003F7964"/>
    <w:rsid w:val="0040008B"/>
    <w:rsid w:val="004004B5"/>
    <w:rsid w:val="004253BB"/>
    <w:rsid w:val="00431249"/>
    <w:rsid w:val="00457926"/>
    <w:rsid w:val="00474CEF"/>
    <w:rsid w:val="00477705"/>
    <w:rsid w:val="00485853"/>
    <w:rsid w:val="004921CA"/>
    <w:rsid w:val="00492FF8"/>
    <w:rsid w:val="004A3D06"/>
    <w:rsid w:val="004A5407"/>
    <w:rsid w:val="004D781A"/>
    <w:rsid w:val="004E2636"/>
    <w:rsid w:val="004E496A"/>
    <w:rsid w:val="004F0D99"/>
    <w:rsid w:val="004F66EF"/>
    <w:rsid w:val="00514A91"/>
    <w:rsid w:val="005214FD"/>
    <w:rsid w:val="00521D53"/>
    <w:rsid w:val="0053487D"/>
    <w:rsid w:val="00536FA0"/>
    <w:rsid w:val="00554018"/>
    <w:rsid w:val="005546DC"/>
    <w:rsid w:val="00554740"/>
    <w:rsid w:val="0056769F"/>
    <w:rsid w:val="00584199"/>
    <w:rsid w:val="005853D5"/>
    <w:rsid w:val="00595DDE"/>
    <w:rsid w:val="005A26C5"/>
    <w:rsid w:val="005A2F7A"/>
    <w:rsid w:val="005D0354"/>
    <w:rsid w:val="005E341E"/>
    <w:rsid w:val="005E51CE"/>
    <w:rsid w:val="005E7840"/>
    <w:rsid w:val="005F3695"/>
    <w:rsid w:val="005F73F7"/>
    <w:rsid w:val="006054AB"/>
    <w:rsid w:val="00607943"/>
    <w:rsid w:val="00613323"/>
    <w:rsid w:val="00613FC2"/>
    <w:rsid w:val="006174F9"/>
    <w:rsid w:val="00620577"/>
    <w:rsid w:val="0062127D"/>
    <w:rsid w:val="0062323A"/>
    <w:rsid w:val="0063448A"/>
    <w:rsid w:val="006477F0"/>
    <w:rsid w:val="00665E08"/>
    <w:rsid w:val="0067444A"/>
    <w:rsid w:val="00690DB7"/>
    <w:rsid w:val="006A3540"/>
    <w:rsid w:val="006A4F36"/>
    <w:rsid w:val="006B6945"/>
    <w:rsid w:val="006C37E7"/>
    <w:rsid w:val="006C6F25"/>
    <w:rsid w:val="006D17C3"/>
    <w:rsid w:val="006D5A8E"/>
    <w:rsid w:val="006E7700"/>
    <w:rsid w:val="006F703F"/>
    <w:rsid w:val="007023FE"/>
    <w:rsid w:val="007036EB"/>
    <w:rsid w:val="007061C8"/>
    <w:rsid w:val="0071243E"/>
    <w:rsid w:val="00712505"/>
    <w:rsid w:val="00725048"/>
    <w:rsid w:val="007326F8"/>
    <w:rsid w:val="00734B54"/>
    <w:rsid w:val="00737321"/>
    <w:rsid w:val="00747D1A"/>
    <w:rsid w:val="00752820"/>
    <w:rsid w:val="00752D61"/>
    <w:rsid w:val="00761F20"/>
    <w:rsid w:val="00764BC4"/>
    <w:rsid w:val="00772B0D"/>
    <w:rsid w:val="00774BA8"/>
    <w:rsid w:val="00791D63"/>
    <w:rsid w:val="00792994"/>
    <w:rsid w:val="00795E28"/>
    <w:rsid w:val="00797190"/>
    <w:rsid w:val="007C01C0"/>
    <w:rsid w:val="007C209B"/>
    <w:rsid w:val="007C5087"/>
    <w:rsid w:val="007C76C9"/>
    <w:rsid w:val="007D1D4B"/>
    <w:rsid w:val="007D6DE4"/>
    <w:rsid w:val="007E484E"/>
    <w:rsid w:val="007F3264"/>
    <w:rsid w:val="0081293D"/>
    <w:rsid w:val="008168F9"/>
    <w:rsid w:val="00817C1C"/>
    <w:rsid w:val="0082190E"/>
    <w:rsid w:val="0084079B"/>
    <w:rsid w:val="00841CCC"/>
    <w:rsid w:val="00851E0C"/>
    <w:rsid w:val="00852BD1"/>
    <w:rsid w:val="0085539C"/>
    <w:rsid w:val="00855729"/>
    <w:rsid w:val="00856B57"/>
    <w:rsid w:val="0086186F"/>
    <w:rsid w:val="008901AA"/>
    <w:rsid w:val="00891E1D"/>
    <w:rsid w:val="00897F0A"/>
    <w:rsid w:val="008B5C42"/>
    <w:rsid w:val="008B65EC"/>
    <w:rsid w:val="008C5089"/>
    <w:rsid w:val="008C6F41"/>
    <w:rsid w:val="008D2756"/>
    <w:rsid w:val="008D3623"/>
    <w:rsid w:val="008D7D05"/>
    <w:rsid w:val="008E5578"/>
    <w:rsid w:val="008E60FA"/>
    <w:rsid w:val="008E62BF"/>
    <w:rsid w:val="008F019E"/>
    <w:rsid w:val="008F46E3"/>
    <w:rsid w:val="00902CF5"/>
    <w:rsid w:val="00914A08"/>
    <w:rsid w:val="00916C45"/>
    <w:rsid w:val="00942B5D"/>
    <w:rsid w:val="0094691B"/>
    <w:rsid w:val="00955C58"/>
    <w:rsid w:val="00965EA2"/>
    <w:rsid w:val="00971098"/>
    <w:rsid w:val="009754AB"/>
    <w:rsid w:val="0097568F"/>
    <w:rsid w:val="0097594D"/>
    <w:rsid w:val="009812DF"/>
    <w:rsid w:val="00981A12"/>
    <w:rsid w:val="00993299"/>
    <w:rsid w:val="009A23FC"/>
    <w:rsid w:val="009B2555"/>
    <w:rsid w:val="009C54CE"/>
    <w:rsid w:val="009C613A"/>
    <w:rsid w:val="009D1189"/>
    <w:rsid w:val="009E158E"/>
    <w:rsid w:val="009E2B82"/>
    <w:rsid w:val="009E3E9A"/>
    <w:rsid w:val="009F3325"/>
    <w:rsid w:val="009F45C8"/>
    <w:rsid w:val="00A21068"/>
    <w:rsid w:val="00A51B8C"/>
    <w:rsid w:val="00A54A3A"/>
    <w:rsid w:val="00A72D97"/>
    <w:rsid w:val="00A8565E"/>
    <w:rsid w:val="00A86B2A"/>
    <w:rsid w:val="00A9240E"/>
    <w:rsid w:val="00A933AB"/>
    <w:rsid w:val="00A9662A"/>
    <w:rsid w:val="00AA27D9"/>
    <w:rsid w:val="00AA35E9"/>
    <w:rsid w:val="00AA5AAD"/>
    <w:rsid w:val="00AD1BFA"/>
    <w:rsid w:val="00AE2BCF"/>
    <w:rsid w:val="00AE5BFC"/>
    <w:rsid w:val="00AF244D"/>
    <w:rsid w:val="00B106E9"/>
    <w:rsid w:val="00B40EA4"/>
    <w:rsid w:val="00B833DB"/>
    <w:rsid w:val="00B85745"/>
    <w:rsid w:val="00BA3736"/>
    <w:rsid w:val="00BB2F92"/>
    <w:rsid w:val="00BB4828"/>
    <w:rsid w:val="00BB63C6"/>
    <w:rsid w:val="00BD1A73"/>
    <w:rsid w:val="00BE2E91"/>
    <w:rsid w:val="00BE5CCD"/>
    <w:rsid w:val="00BE6AF0"/>
    <w:rsid w:val="00BF49D9"/>
    <w:rsid w:val="00C157C0"/>
    <w:rsid w:val="00C44F7D"/>
    <w:rsid w:val="00C50270"/>
    <w:rsid w:val="00C570F4"/>
    <w:rsid w:val="00C74418"/>
    <w:rsid w:val="00C74736"/>
    <w:rsid w:val="00C7600B"/>
    <w:rsid w:val="00C82326"/>
    <w:rsid w:val="00C91CCA"/>
    <w:rsid w:val="00C9315D"/>
    <w:rsid w:val="00C95E97"/>
    <w:rsid w:val="00CC4F3A"/>
    <w:rsid w:val="00CC7E48"/>
    <w:rsid w:val="00CD1A91"/>
    <w:rsid w:val="00CE0303"/>
    <w:rsid w:val="00CE5162"/>
    <w:rsid w:val="00CE7069"/>
    <w:rsid w:val="00CE7502"/>
    <w:rsid w:val="00D03F99"/>
    <w:rsid w:val="00D3087B"/>
    <w:rsid w:val="00D528D0"/>
    <w:rsid w:val="00D53ACD"/>
    <w:rsid w:val="00D53C77"/>
    <w:rsid w:val="00D751FF"/>
    <w:rsid w:val="00D90910"/>
    <w:rsid w:val="00D90B3D"/>
    <w:rsid w:val="00DA085D"/>
    <w:rsid w:val="00DB5E5C"/>
    <w:rsid w:val="00DC1482"/>
    <w:rsid w:val="00DC4211"/>
    <w:rsid w:val="00DE0191"/>
    <w:rsid w:val="00DE62B5"/>
    <w:rsid w:val="00DF326C"/>
    <w:rsid w:val="00DF546B"/>
    <w:rsid w:val="00DF5911"/>
    <w:rsid w:val="00E03F9A"/>
    <w:rsid w:val="00E065CB"/>
    <w:rsid w:val="00E15130"/>
    <w:rsid w:val="00E44393"/>
    <w:rsid w:val="00E47250"/>
    <w:rsid w:val="00E51B45"/>
    <w:rsid w:val="00E62CD4"/>
    <w:rsid w:val="00E845B4"/>
    <w:rsid w:val="00E87422"/>
    <w:rsid w:val="00E9129A"/>
    <w:rsid w:val="00E9192F"/>
    <w:rsid w:val="00E94DEA"/>
    <w:rsid w:val="00EA2A03"/>
    <w:rsid w:val="00EC48E5"/>
    <w:rsid w:val="00EC694E"/>
    <w:rsid w:val="00ED0BD3"/>
    <w:rsid w:val="00ED415B"/>
    <w:rsid w:val="00ED757C"/>
    <w:rsid w:val="00EF4C44"/>
    <w:rsid w:val="00F14187"/>
    <w:rsid w:val="00F251CB"/>
    <w:rsid w:val="00F30D60"/>
    <w:rsid w:val="00F32BEB"/>
    <w:rsid w:val="00F356C6"/>
    <w:rsid w:val="00F53204"/>
    <w:rsid w:val="00F60F16"/>
    <w:rsid w:val="00F66180"/>
    <w:rsid w:val="00F67A2D"/>
    <w:rsid w:val="00F85595"/>
    <w:rsid w:val="00F9090F"/>
    <w:rsid w:val="00F90A17"/>
    <w:rsid w:val="00F90B88"/>
    <w:rsid w:val="00F9473F"/>
    <w:rsid w:val="00FA147E"/>
    <w:rsid w:val="00FA1C62"/>
    <w:rsid w:val="00FB0016"/>
    <w:rsid w:val="00FB1206"/>
    <w:rsid w:val="00FB433E"/>
    <w:rsid w:val="00FB49FC"/>
    <w:rsid w:val="00FB55ED"/>
    <w:rsid w:val="00FB65F1"/>
    <w:rsid w:val="00FB7039"/>
    <w:rsid w:val="00FC054E"/>
    <w:rsid w:val="00FC074A"/>
    <w:rsid w:val="00FC108D"/>
    <w:rsid w:val="00FC1FFE"/>
    <w:rsid w:val="00FD274B"/>
    <w:rsid w:val="00FD2D0A"/>
    <w:rsid w:val="00FD3E39"/>
    <w:rsid w:val="00FD5486"/>
    <w:rsid w:val="00FE531B"/>
    <w:rsid w:val="00FF261A"/>
    <w:rsid w:val="16D68ABB"/>
    <w:rsid w:val="718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926"/>
    <w:rPr>
      <w:color w:val="00168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0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2D"/>
    <w:pPr>
      <w:jc w:val="both"/>
    </w:pPr>
    <w:rPr>
      <w:rFonts w:ascii="Arial" w:eastAsiaTheme="minorHAnsi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2D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29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901AA"/>
    <w:pPr>
      <w:autoSpaceDE w:val="0"/>
      <w:autoSpaceDN w:val="0"/>
      <w:adjustRightInd w:val="0"/>
    </w:pPr>
    <w:rPr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hanahealthservice.org/gwer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E9F4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Ana Gutierrez</cp:lastModifiedBy>
  <cp:revision>6</cp:revision>
  <cp:lastPrinted>2019-06-25T18:04:00Z</cp:lastPrinted>
  <dcterms:created xsi:type="dcterms:W3CDTF">2021-03-10T14:21:00Z</dcterms:created>
  <dcterms:modified xsi:type="dcterms:W3CDTF">2021-03-10T20:46:00Z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-623434652</vt:i4>
  </property>
</Properties>
</file>