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6A4E" w14:textId="77777777" w:rsidR="002401A4" w:rsidRPr="007B2EAF" w:rsidRDefault="002401A4">
      <w:pPr>
        <w:pStyle w:val="BodyText"/>
        <w:spacing w:before="0"/>
        <w:ind w:left="0"/>
        <w:rPr>
          <w:sz w:val="26"/>
        </w:rPr>
      </w:pPr>
    </w:p>
    <w:p w14:paraId="1934E5BE" w14:textId="77777777" w:rsidR="002401A4" w:rsidRPr="007B2EAF" w:rsidRDefault="002401A4">
      <w:pPr>
        <w:pStyle w:val="BodyText"/>
        <w:spacing w:before="0"/>
        <w:ind w:left="0"/>
        <w:rPr>
          <w:sz w:val="26"/>
        </w:rPr>
      </w:pPr>
    </w:p>
    <w:p w14:paraId="1D5E59DE" w14:textId="77777777" w:rsidR="002401A4" w:rsidRPr="007B2EAF" w:rsidRDefault="002401A4">
      <w:pPr>
        <w:pStyle w:val="BodyText"/>
        <w:spacing w:before="0"/>
        <w:ind w:left="0"/>
        <w:rPr>
          <w:sz w:val="26"/>
        </w:rPr>
      </w:pPr>
    </w:p>
    <w:p w14:paraId="47AA5F72" w14:textId="77777777" w:rsidR="002401A4" w:rsidRPr="007B2EAF" w:rsidRDefault="00E52D23">
      <w:pPr>
        <w:pStyle w:val="Heading1"/>
        <w:spacing w:before="175"/>
      </w:pPr>
      <w:r w:rsidRPr="007B2EAF">
        <w:rPr>
          <w:color w:val="333333"/>
        </w:rPr>
        <w:t>HƯỚNG DẪN SỬ DỤNG DỊCH VỤ</w:t>
      </w:r>
    </w:p>
    <w:p w14:paraId="6E1C66AD" w14:textId="77777777" w:rsidR="002401A4" w:rsidRPr="007B2EAF" w:rsidRDefault="00E52D23">
      <w:pPr>
        <w:pStyle w:val="Title"/>
        <w:spacing w:before="66" w:line="235" w:lineRule="auto"/>
        <w:ind w:left="412"/>
        <w:jc w:val="both"/>
        <w:rPr>
          <w:rFonts w:ascii="Times New Roman" w:hAnsi="Times New Roman" w:cs="Times New Roman"/>
        </w:rPr>
      </w:pPr>
      <w:r w:rsidRPr="007B2EAF">
        <w:rPr>
          <w:rFonts w:ascii="Times New Roman" w:hAnsi="Times New Roman" w:cs="Times New Roman"/>
        </w:rPr>
        <w:br w:type="column"/>
      </w:r>
      <w:r w:rsidRPr="007B2EAF">
        <w:rPr>
          <w:rFonts w:ascii="Times New Roman" w:hAnsi="Times New Roman" w:cs="Times New Roman"/>
        </w:rPr>
        <w:t>Công ty Cổ phần Công nghệ thẻ</w:t>
      </w:r>
    </w:p>
    <w:p w14:paraId="529BDD4D" w14:textId="77777777" w:rsidR="002401A4" w:rsidRPr="007B2EAF" w:rsidRDefault="00E52D23">
      <w:pPr>
        <w:spacing w:before="86"/>
        <w:ind w:left="295"/>
        <w:rPr>
          <w:sz w:val="10"/>
        </w:rPr>
      </w:pPr>
      <w:r w:rsidRPr="007B2EAF">
        <w:br w:type="column"/>
      </w:r>
      <w:r w:rsidRPr="007B2EAF">
        <w:rPr>
          <w:w w:val="105"/>
          <w:sz w:val="10"/>
        </w:rPr>
        <w:t>Digitally signed by Công ty Cổ phần Công nghệ thẻ NACENCOMM</w:t>
      </w:r>
    </w:p>
    <w:p w14:paraId="4085C6E3" w14:textId="77777777" w:rsidR="002401A4" w:rsidRPr="007B2EAF" w:rsidRDefault="00E52D23">
      <w:pPr>
        <w:spacing w:before="1"/>
        <w:ind w:left="295"/>
        <w:rPr>
          <w:sz w:val="10"/>
        </w:rPr>
      </w:pPr>
      <w:r w:rsidRPr="007B2EAF">
        <w:rPr>
          <w:w w:val="105"/>
          <w:sz w:val="10"/>
        </w:rPr>
        <w:t>DN: C=VN, S=MST:0103930279, L="Số 25</w:t>
      </w:r>
    </w:p>
    <w:p w14:paraId="672BCC3A" w14:textId="77777777" w:rsidR="002401A4" w:rsidRPr="007B2EAF" w:rsidRDefault="00E52D23">
      <w:pPr>
        <w:ind w:left="295" w:right="19"/>
        <w:rPr>
          <w:sz w:val="10"/>
        </w:rPr>
      </w:pPr>
      <w:r w:rsidRPr="007B2EAF">
        <w:rPr>
          <w:w w:val="105"/>
          <w:sz w:val="10"/>
        </w:rPr>
        <w:t xml:space="preserve">Lê Văn Thiêm, quận Thanh Xuân, Hà Nội", O=Công ty Cổ phần Công nghệ thẻ NACENCOMM, CN=Công ty Cổ phần Công nghệ thẻ NACENCOMM, </w:t>
      </w:r>
      <w:hyperlink r:id="rId5">
        <w:r w:rsidRPr="007B2EAF">
          <w:rPr>
            <w:w w:val="105"/>
            <w:sz w:val="10"/>
          </w:rPr>
          <w:t>E=admin@cavn.vn</w:t>
        </w:r>
      </w:hyperlink>
      <w:r w:rsidRPr="007B2EAF">
        <w:rPr>
          <w:w w:val="105"/>
          <w:sz w:val="10"/>
        </w:rPr>
        <w:t xml:space="preserve"> Reason: I am the author of this document Location: your signing location here</w:t>
      </w:r>
    </w:p>
    <w:p w14:paraId="1646BE24" w14:textId="77777777" w:rsidR="002401A4" w:rsidRPr="007B2EAF" w:rsidRDefault="00E52D23">
      <w:pPr>
        <w:spacing w:before="3"/>
        <w:ind w:left="295"/>
        <w:rPr>
          <w:sz w:val="10"/>
        </w:rPr>
      </w:pPr>
      <w:r w:rsidRPr="007B2EAF">
        <w:rPr>
          <w:w w:val="105"/>
          <w:sz w:val="10"/>
        </w:rPr>
        <w:t>Date: 2021-08-16</w:t>
      </w:r>
      <w:r w:rsidRPr="007B2EAF">
        <w:rPr>
          <w:spacing w:val="-20"/>
          <w:w w:val="105"/>
          <w:sz w:val="10"/>
        </w:rPr>
        <w:t xml:space="preserve"> </w:t>
      </w:r>
      <w:r w:rsidRPr="007B2EAF">
        <w:rPr>
          <w:w w:val="105"/>
          <w:sz w:val="10"/>
        </w:rPr>
        <w:t>16:53:40</w:t>
      </w:r>
    </w:p>
    <w:p w14:paraId="32F9223A" w14:textId="77777777" w:rsidR="002401A4" w:rsidRPr="007B2EAF" w:rsidRDefault="00E52D23">
      <w:pPr>
        <w:spacing w:before="1"/>
        <w:ind w:left="295"/>
        <w:rPr>
          <w:sz w:val="10"/>
        </w:rPr>
      </w:pPr>
      <w:r w:rsidRPr="007B2EAF">
        <w:rPr>
          <w:w w:val="105"/>
          <w:sz w:val="10"/>
        </w:rPr>
        <w:t>Foxit Reader Version:</w:t>
      </w:r>
      <w:r w:rsidRPr="007B2EAF">
        <w:rPr>
          <w:spacing w:val="-22"/>
          <w:w w:val="105"/>
          <w:sz w:val="10"/>
        </w:rPr>
        <w:t xml:space="preserve"> </w:t>
      </w:r>
      <w:r w:rsidRPr="007B2EAF">
        <w:rPr>
          <w:w w:val="105"/>
          <w:sz w:val="10"/>
        </w:rPr>
        <w:t>9.7.0</w:t>
      </w:r>
    </w:p>
    <w:p w14:paraId="1AA2D8EC" w14:textId="77777777" w:rsidR="002401A4" w:rsidRPr="007B2EAF" w:rsidRDefault="002401A4">
      <w:pPr>
        <w:rPr>
          <w:sz w:val="10"/>
        </w:rPr>
        <w:sectPr w:rsidR="002401A4" w:rsidRPr="007B2EAF">
          <w:type w:val="continuous"/>
          <w:pgSz w:w="12240" w:h="15840"/>
          <w:pgMar w:top="0" w:right="0" w:bottom="280" w:left="1720" w:header="720" w:footer="720" w:gutter="0"/>
          <w:cols w:num="3" w:space="720" w:equalWidth="0">
            <w:col w:w="4254" w:space="1949"/>
            <w:col w:w="1862" w:space="39"/>
            <w:col w:w="2416"/>
          </w:cols>
        </w:sectPr>
      </w:pPr>
    </w:p>
    <w:p w14:paraId="7468A501" w14:textId="77777777" w:rsidR="002401A4" w:rsidRPr="007B2EAF" w:rsidRDefault="00BE54B5">
      <w:pPr>
        <w:pStyle w:val="Heading1"/>
        <w:spacing w:before="0" w:line="271" w:lineRule="exact"/>
        <w:jc w:val="both"/>
      </w:pPr>
      <w:r>
        <w:pict w14:anchorId="4438123A">
          <v:group id="_x0000_s1027" style="position:absolute;left:0;text-align:left;margin-left:478.25pt;margin-top:-59.45pt;width:55.5pt;height:55.5pt;z-index:-15779840;mso-position-horizontal-relative:page" coordorigin="9565,-1189" coordsize="1110,1110">
            <v:shape id="_x0000_s1031" style="position:absolute;left:9564;top:-1190;width:1110;height:1110" coordorigin="9565,-1189" coordsize="1110,1110" o:spt="100" adj="0,,0" path="m10390,-1189r-796,l9583,-1187r-9,7l9567,-1171r-2,11l9565,-109r2,11l9574,-89r9,7l9594,-80r1051,l10655,-82r10,-7l10672,-98r2,-11l10674,-163r-83,l9975,-390r-7,-85l9954,-554r-20,-75l9907,-699r-33,-68l9835,-834r-44,-66l9742,-967r-53,-68l9631,-1107r759,l10390,-1189xm10390,-1107r-759,l9684,-1086r62,29l9814,-1021r73,41l9964,-933r78,49l10121,-832r77,54l10272,-724r69,53l10403,-620r55,49l10481,-495r27,82l10537,-327r28,84l10591,-163r83,l10674,-905r-211,l10433,-913r-23,-16l10395,-954r-5,-36l10390,-1107xm10440,-1189r,199l10443,-981r10,9l10465,-965r10,3l10674,-962r-234,-227xe" fillcolor="#e6cee6" stroked="f">
              <v:stroke joinstyle="round"/>
              <v:formulas/>
              <v:path arrowok="t" o:connecttype="segments"/>
            </v:shape>
            <v:shape id="_x0000_s1030" style="position:absolute;left:9631;top:-1107;width:960;height:944" coordorigin="9631,-1107" coordsize="960,944" path="m9631,-1107r58,72l9742,-967r49,67l9835,-834r39,67l9907,-699r27,70l9954,-554r14,79l9975,-390r616,227l10565,-243r-57,-170l10481,-495r-23,-76l10403,-620r-62,-51l10272,-724r-74,-54l10121,-832r-79,-52l9964,-933r-77,-47l9814,-1021r-68,-36l9684,-1086r-53,-21xe" fillcolor="#efd6e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152;top:-580;width:283;height:265">
              <v:imagedata r:id="rId6" o:title=""/>
            </v:shape>
            <v:shape id="_x0000_s1028" style="position:absolute;left:9816;top:-1012;width:607;height:851" coordorigin="9816,-1012" coordsize="607,851" o:spt="100" adj="0,,0" path="m10171,-1012r-80,5l10013,-978r-71,47l9883,-871r-28,43l9834,-779r-13,51l9816,-679r11,66l9858,-552r46,54l9963,-455r67,28l10101,-416r41,-6l10186,-435r40,-17l10253,-468r44,-41l10310,-527r-202,l10052,-552r-42,-48l9986,-664r11,-78l10028,-798r46,-38l10131,-857r64,-8l10287,-865r-16,-21l10228,-919r-44,-21l10327,-940r-27,-25l10235,-1000r-64,-12xm10256,-764r-12,51l10212,-670r-46,27l10112,-642r15,30l10153,-588r38,15l10241,-568r-69,38l10108,-527r202,l10331,-558r21,-52l10360,-657r-3,-37l10304,-694r-10,-22l10284,-736r-11,-17l10256,-764xm10315,-783r-2,27l10310,-733r-3,21l10304,-694r53,l10357,-696r-10,-35l10333,-760r-18,-23xm10327,-940r-143,l10262,-924r74,40l10393,-834r30,48l10400,-852r-43,-61l10327,-940xm10287,-865r-92,l10231,-864r39,17l10302,-825r17,20l10304,-846r-17,-19xm9979,-331r-74,l9905,-161r37,l9942,-220r37,l10017,-238r6,-16l9942,-254r,-44l10023,-298r-6,-16l9979,-331xm10023,-298r-44,l9995,-291r6,15l9995,-261r-16,7l10023,-254r7,-22l10023,-298xm10134,-331r-74,l10060,-161r74,l10180,-179r9,-15l10101,-194r,-104l10189,-298r-9,-16l10134,-331xm10189,-298r-55,l10166,-282r11,36l10166,-211r-32,17l10189,-194r14,-27l10203,-271r-14,-27xm10364,-331r-123,l10241,-161r41,l10282,-231r82,l10364,-265r-82,l10282,-298r82,l10364,-331xe" stroked="f">
              <v:stroke joinstyle="round"/>
              <v:formulas/>
              <v:path arrowok="t" o:connecttype="segments"/>
            </v:shape>
            <w10:wrap anchorx="page"/>
          </v:group>
        </w:pict>
      </w:r>
      <w:r>
        <w:pict w14:anchorId="362020C0">
          <v:shapetype id="_x0000_t202" coordsize="21600,21600" o:spt="202" path="m,l,21600r21600,l21600,xe">
            <v:stroke joinstyle="miter"/>
            <v:path gradientshapeok="t" o:connecttype="rect"/>
          </v:shapetype>
          <v:shape id="_x0000_s1026" type="#_x0000_t202" style="position:absolute;left:0;text-align:left;margin-left:405.8pt;margin-top:52.4pt;width:97.7pt;height:16.4pt;z-index:15729152;mso-position-horizontal-relative:page;mso-position-vertical-relative:page" filled="f" stroked="f">
            <v:textbox style="mso-next-textbox:#_x0000_s1026" inset="0,0,0,0">
              <w:txbxContent>
                <w:p w14:paraId="09952BE3" w14:textId="77777777" w:rsidR="002401A4" w:rsidRDefault="00E52D23">
                  <w:pPr>
                    <w:spacing w:line="327" w:lineRule="exact"/>
                    <w:rPr>
                      <w:rFonts w:ascii="Arial"/>
                      <w:sz w:val="29"/>
                    </w:rPr>
                  </w:pPr>
                  <w:r>
                    <w:rPr>
                      <w:rFonts w:ascii="Arial"/>
                      <w:sz w:val="29"/>
                    </w:rPr>
                    <w:t>NACENCOMM</w:t>
                  </w:r>
                </w:p>
              </w:txbxContent>
            </v:textbox>
            <w10:wrap anchorx="page" anchory="page"/>
          </v:shape>
        </w:pict>
      </w:r>
      <w:r w:rsidR="00E52D23" w:rsidRPr="007B2EAF">
        <w:rPr>
          <w:color w:val="333333"/>
        </w:rPr>
        <w:t>CHỨNG THỰC CHỮ KÝ SỐ CÔNG CỘNG CA2 CỦA NACENCOMM</w:t>
      </w:r>
    </w:p>
    <w:p w14:paraId="6D8F1E4F" w14:textId="77777777" w:rsidR="002401A4" w:rsidRPr="007B2EAF" w:rsidRDefault="00E52D23">
      <w:pPr>
        <w:spacing w:before="146"/>
        <w:ind w:left="459"/>
        <w:jc w:val="both"/>
        <w:rPr>
          <w:b/>
          <w:sz w:val="24"/>
        </w:rPr>
      </w:pPr>
      <w:r w:rsidRPr="007B2EAF">
        <w:rPr>
          <w:b/>
          <w:color w:val="333333"/>
          <w:sz w:val="24"/>
        </w:rPr>
        <w:t>Các thông tin cần biết về Chứng thực chữ ký số công cộng:</w:t>
      </w:r>
    </w:p>
    <w:p w14:paraId="268A9BC9" w14:textId="77777777" w:rsidR="002401A4" w:rsidRPr="007B2EAF" w:rsidRDefault="00E52D23">
      <w:pPr>
        <w:pStyle w:val="ListParagraph"/>
        <w:numPr>
          <w:ilvl w:val="0"/>
          <w:numId w:val="3"/>
        </w:numPr>
        <w:tabs>
          <w:tab w:val="left" w:pos="558"/>
        </w:tabs>
        <w:spacing w:before="149" w:line="242" w:lineRule="auto"/>
        <w:ind w:right="1590" w:firstLine="0"/>
        <w:jc w:val="both"/>
        <w:rPr>
          <w:sz w:val="24"/>
        </w:rPr>
      </w:pPr>
      <w:r w:rsidRPr="007B2EAF">
        <w:rPr>
          <w:color w:val="333333"/>
          <w:sz w:val="24"/>
        </w:rPr>
        <w:t>Chứng thực số: Là một dạng chứng thư điện tử do tổ chức cung cấp dịch vụ chứng thực chữ ký số công cộng cấp, dùng để nhận diện chủ thể là các tổ chức /cá nhân trên môi trường máy tính và mạng</w:t>
      </w:r>
      <w:r w:rsidRPr="007B2EAF">
        <w:rPr>
          <w:color w:val="333333"/>
          <w:spacing w:val="9"/>
          <w:sz w:val="24"/>
        </w:rPr>
        <w:t xml:space="preserve"> </w:t>
      </w:r>
      <w:r w:rsidRPr="007B2EAF">
        <w:rPr>
          <w:color w:val="333333"/>
          <w:sz w:val="24"/>
        </w:rPr>
        <w:t>internet.</w:t>
      </w:r>
    </w:p>
    <w:p w14:paraId="2E8734D4" w14:textId="77777777" w:rsidR="002401A4" w:rsidRPr="007B2EAF" w:rsidRDefault="00E52D23">
      <w:pPr>
        <w:pStyle w:val="ListParagraph"/>
        <w:numPr>
          <w:ilvl w:val="0"/>
          <w:numId w:val="3"/>
        </w:numPr>
        <w:tabs>
          <w:tab w:val="left" w:pos="537"/>
        </w:tabs>
        <w:spacing w:before="145" w:line="244" w:lineRule="auto"/>
        <w:ind w:right="1590" w:firstLine="0"/>
        <w:jc w:val="both"/>
        <w:rPr>
          <w:sz w:val="24"/>
        </w:rPr>
      </w:pPr>
      <w:r w:rsidRPr="007B2EAF">
        <w:rPr>
          <w:color w:val="333333"/>
          <w:sz w:val="24"/>
        </w:rPr>
        <w:t>Chữ ký số: Có thể hiểu như con dấu điện tử / chữ ký điện tử của tổ chức / cá nhân phát hành văn bản, tài liệu trong giao dịch điện tử. Chữ ký số ngoài việc sử dụng cho kê khai thuế qua mạng, có thể sử dụng trong giao dịch điện tử khác như Hải Quan điện tử, BHXH (i-Van) và các dịch vụ công cộng</w:t>
      </w:r>
      <w:r w:rsidRPr="007B2EAF">
        <w:rPr>
          <w:color w:val="333333"/>
          <w:spacing w:val="10"/>
          <w:sz w:val="24"/>
        </w:rPr>
        <w:t xml:space="preserve"> </w:t>
      </w:r>
      <w:r w:rsidRPr="007B2EAF">
        <w:rPr>
          <w:color w:val="333333"/>
          <w:sz w:val="24"/>
        </w:rPr>
        <w:t>khác.</w:t>
      </w:r>
    </w:p>
    <w:p w14:paraId="14027572" w14:textId="77777777" w:rsidR="002401A4" w:rsidRPr="007B2EAF" w:rsidRDefault="00E52D23">
      <w:pPr>
        <w:pStyle w:val="ListParagraph"/>
        <w:numPr>
          <w:ilvl w:val="0"/>
          <w:numId w:val="3"/>
        </w:numPr>
        <w:tabs>
          <w:tab w:val="left" w:pos="604"/>
        </w:tabs>
        <w:spacing w:before="141" w:line="242" w:lineRule="auto"/>
        <w:ind w:right="1594" w:firstLine="0"/>
        <w:jc w:val="both"/>
        <w:rPr>
          <w:sz w:val="24"/>
        </w:rPr>
      </w:pPr>
      <w:r w:rsidRPr="007B2EAF">
        <w:rPr>
          <w:color w:val="333333"/>
          <w:sz w:val="24"/>
        </w:rPr>
        <w:t>Tính pháp lý của chữ ký số: Luật giao dịch điện tử năm 2005 và Nghị định 130/2018/NĐ-CP quy định chi tiết luật giao dịch điện tử về chữ ký số và dịch vụ chứng thực chữ ký số. Tham khảo thêm QUY CHẾ CHỨNG THỰC CHỮ KÝ SỐ CÔNG CỘNG CA2, được niêm yết công khai trên website:</w:t>
      </w:r>
      <w:r w:rsidRPr="007B2EAF">
        <w:rPr>
          <w:color w:val="333333"/>
          <w:spacing w:val="22"/>
          <w:sz w:val="24"/>
        </w:rPr>
        <w:t xml:space="preserve"> </w:t>
      </w:r>
      <w:r w:rsidRPr="007B2EAF">
        <w:rPr>
          <w:color w:val="333333"/>
          <w:sz w:val="24"/>
        </w:rPr>
        <w:t>www.cavn.vn)</w:t>
      </w:r>
    </w:p>
    <w:p w14:paraId="3D605461" w14:textId="77777777" w:rsidR="002401A4" w:rsidRPr="007B2EAF" w:rsidRDefault="00E52D23">
      <w:pPr>
        <w:pStyle w:val="ListParagraph"/>
        <w:numPr>
          <w:ilvl w:val="0"/>
          <w:numId w:val="3"/>
        </w:numPr>
        <w:tabs>
          <w:tab w:val="left" w:pos="534"/>
        </w:tabs>
        <w:spacing w:before="150" w:line="242" w:lineRule="auto"/>
        <w:ind w:right="1590" w:firstLine="0"/>
        <w:jc w:val="both"/>
        <w:rPr>
          <w:sz w:val="24"/>
        </w:rPr>
      </w:pPr>
      <w:r w:rsidRPr="007B2EAF">
        <w:rPr>
          <w:color w:val="333333"/>
          <w:sz w:val="24"/>
        </w:rPr>
        <w:t>Tính bảo mật thông tin chữ ký số: Chữ ký số đã được chứng minh về mặt kỹ thuật đảm bảo an ninh, duy nhất và không thể giả mạo được. Chữ ký số được lưu trữ trong thiết bị đặc biệt (USB Token), bảo vệ bởi mật khẩu nên có mức đảm bảo</w:t>
      </w:r>
      <w:r w:rsidRPr="007B2EAF">
        <w:rPr>
          <w:color w:val="333333"/>
          <w:spacing w:val="5"/>
          <w:sz w:val="24"/>
        </w:rPr>
        <w:t xml:space="preserve"> </w:t>
      </w:r>
      <w:r w:rsidRPr="007B2EAF">
        <w:rPr>
          <w:color w:val="333333"/>
          <w:sz w:val="24"/>
        </w:rPr>
        <w:t>an ninh cao.</w:t>
      </w:r>
    </w:p>
    <w:p w14:paraId="3391EF65" w14:textId="77777777" w:rsidR="002401A4" w:rsidRPr="007B2EAF" w:rsidRDefault="00E52D23">
      <w:pPr>
        <w:pStyle w:val="Heading1"/>
        <w:numPr>
          <w:ilvl w:val="0"/>
          <w:numId w:val="2"/>
        </w:numPr>
        <w:tabs>
          <w:tab w:val="left" w:pos="824"/>
          <w:tab w:val="left" w:pos="825"/>
        </w:tabs>
        <w:spacing w:before="146"/>
        <w:ind w:hanging="429"/>
      </w:pPr>
      <w:r w:rsidRPr="007B2EAF">
        <w:rPr>
          <w:color w:val="333333"/>
        </w:rPr>
        <w:t>Chuẩn bị thủ tục hồ sơ đăng</w:t>
      </w:r>
      <w:r w:rsidRPr="007B2EAF">
        <w:rPr>
          <w:color w:val="333333"/>
          <w:spacing w:val="8"/>
        </w:rPr>
        <w:t xml:space="preserve"> </w:t>
      </w:r>
      <w:r w:rsidRPr="007B2EAF">
        <w:rPr>
          <w:color w:val="333333"/>
        </w:rPr>
        <w:t>ký:</w:t>
      </w:r>
    </w:p>
    <w:p w14:paraId="0099CD96" w14:textId="77777777" w:rsidR="002401A4" w:rsidRPr="007B2EAF" w:rsidRDefault="00E52D23">
      <w:pPr>
        <w:pStyle w:val="ListParagraph"/>
        <w:numPr>
          <w:ilvl w:val="0"/>
          <w:numId w:val="1"/>
        </w:numPr>
        <w:tabs>
          <w:tab w:val="left" w:pos="628"/>
        </w:tabs>
        <w:spacing w:before="146"/>
        <w:ind w:hanging="232"/>
        <w:rPr>
          <w:sz w:val="24"/>
        </w:rPr>
      </w:pPr>
      <w:r w:rsidRPr="007B2EAF">
        <w:rPr>
          <w:color w:val="333333"/>
          <w:sz w:val="24"/>
        </w:rPr>
        <w:t>Đối với cá nhân: Chứng minh nhân dân hoặc Căn cước công dân hoặc hộ</w:t>
      </w:r>
      <w:r w:rsidRPr="007B2EAF">
        <w:rPr>
          <w:color w:val="333333"/>
          <w:spacing w:val="46"/>
          <w:sz w:val="24"/>
        </w:rPr>
        <w:t xml:space="preserve"> </w:t>
      </w:r>
      <w:r w:rsidRPr="007B2EAF">
        <w:rPr>
          <w:color w:val="333333"/>
          <w:sz w:val="24"/>
        </w:rPr>
        <w:t>chiếu</w:t>
      </w:r>
    </w:p>
    <w:p w14:paraId="2770A971" w14:textId="77777777" w:rsidR="002401A4" w:rsidRPr="007B2EAF" w:rsidRDefault="00E52D23">
      <w:pPr>
        <w:pStyle w:val="ListParagraph"/>
        <w:numPr>
          <w:ilvl w:val="0"/>
          <w:numId w:val="1"/>
        </w:numPr>
        <w:tabs>
          <w:tab w:val="left" w:pos="637"/>
        </w:tabs>
        <w:spacing w:before="149" w:line="242" w:lineRule="auto"/>
        <w:ind w:left="396" w:right="1591" w:firstLine="0"/>
        <w:jc w:val="both"/>
        <w:rPr>
          <w:sz w:val="24"/>
        </w:rPr>
      </w:pPr>
      <w:r w:rsidRPr="007B2EAF">
        <w:rPr>
          <w:color w:val="333333"/>
          <w:sz w:val="24"/>
        </w:rPr>
        <w:t>Đối với tổ chức: Quyết định thành lập hoặc quyết định quy định về chức năng, nhiệm vụ, quyền hạn,cơ cấu tổ chức hoặc giấy chứng nhận đăng ký doanh nghiệp hoặc giấy chứng nhận đầu tư, chứng minh nhân dân, hoặc căn cước công dân hoặc hộ chiếu của người đại diện pháp luật của tổ</w:t>
      </w:r>
      <w:r w:rsidRPr="007B2EAF">
        <w:rPr>
          <w:color w:val="333333"/>
          <w:spacing w:val="10"/>
          <w:sz w:val="24"/>
        </w:rPr>
        <w:t xml:space="preserve"> </w:t>
      </w:r>
      <w:r w:rsidRPr="007B2EAF">
        <w:rPr>
          <w:color w:val="333333"/>
          <w:sz w:val="24"/>
        </w:rPr>
        <w:t>chức.</w:t>
      </w:r>
    </w:p>
    <w:p w14:paraId="28212580" w14:textId="77777777" w:rsidR="002401A4" w:rsidRPr="007B2EAF" w:rsidRDefault="00E52D23">
      <w:pPr>
        <w:pStyle w:val="ListParagraph"/>
        <w:numPr>
          <w:ilvl w:val="0"/>
          <w:numId w:val="1"/>
        </w:numPr>
        <w:tabs>
          <w:tab w:val="left" w:pos="637"/>
        </w:tabs>
        <w:spacing w:before="150" w:line="242" w:lineRule="auto"/>
        <w:ind w:left="396" w:right="1590" w:firstLine="0"/>
        <w:jc w:val="both"/>
        <w:rPr>
          <w:sz w:val="24"/>
        </w:rPr>
      </w:pPr>
      <w:r w:rsidRPr="007B2EAF">
        <w:rPr>
          <w:color w:val="333333"/>
          <w:sz w:val="24"/>
        </w:rPr>
        <w:t>Cá nhân, tổ chức có quyền lựa chọn nộp bản sao từ bản gốc, bản sao có chứng thực hoặc nộp bản sao xuất trình kèm bản chính để đối</w:t>
      </w:r>
      <w:r w:rsidRPr="007B2EAF">
        <w:rPr>
          <w:color w:val="333333"/>
          <w:spacing w:val="23"/>
          <w:sz w:val="24"/>
        </w:rPr>
        <w:t xml:space="preserve"> </w:t>
      </w:r>
      <w:r w:rsidRPr="007B2EAF">
        <w:rPr>
          <w:color w:val="333333"/>
          <w:sz w:val="24"/>
        </w:rPr>
        <w:t>chiếu.</w:t>
      </w:r>
    </w:p>
    <w:p w14:paraId="1AA86F7D" w14:textId="77777777" w:rsidR="002401A4" w:rsidRPr="007B2EAF" w:rsidRDefault="00E52D23">
      <w:pPr>
        <w:pStyle w:val="Heading1"/>
        <w:numPr>
          <w:ilvl w:val="0"/>
          <w:numId w:val="2"/>
        </w:numPr>
        <w:tabs>
          <w:tab w:val="left" w:pos="824"/>
          <w:tab w:val="left" w:pos="825"/>
        </w:tabs>
        <w:spacing w:before="143"/>
        <w:ind w:hanging="429"/>
      </w:pPr>
      <w:r w:rsidRPr="007B2EAF">
        <w:rPr>
          <w:color w:val="333333"/>
        </w:rPr>
        <w:t>Các khoản phí mà khách hàng cần thanh</w:t>
      </w:r>
      <w:r w:rsidRPr="007B2EAF">
        <w:rPr>
          <w:color w:val="333333"/>
          <w:spacing w:val="10"/>
        </w:rPr>
        <w:t xml:space="preserve"> </w:t>
      </w:r>
      <w:r w:rsidRPr="007B2EAF">
        <w:rPr>
          <w:color w:val="333333"/>
        </w:rPr>
        <w:t>toán:</w:t>
      </w:r>
    </w:p>
    <w:p w14:paraId="4AC9D149" w14:textId="77777777" w:rsidR="002401A4" w:rsidRPr="007B2EAF" w:rsidRDefault="00E52D23">
      <w:pPr>
        <w:pStyle w:val="ListParagraph"/>
        <w:numPr>
          <w:ilvl w:val="0"/>
          <w:numId w:val="3"/>
        </w:numPr>
        <w:tabs>
          <w:tab w:val="left" w:pos="549"/>
        </w:tabs>
        <w:spacing w:before="146" w:line="244" w:lineRule="auto"/>
        <w:ind w:right="1593" w:firstLine="0"/>
        <w:jc w:val="both"/>
        <w:rPr>
          <w:sz w:val="24"/>
        </w:rPr>
      </w:pPr>
      <w:r w:rsidRPr="007B2EAF">
        <w:rPr>
          <w:color w:val="333333"/>
          <w:sz w:val="24"/>
        </w:rPr>
        <w:t>Phí dịch vụ sử dụng chứng thứ số (tham khảo bảng niêm yết giá dịch vụ chứng thực chữ ký số công cộng</w:t>
      </w:r>
      <w:r w:rsidRPr="007B2EAF">
        <w:rPr>
          <w:color w:val="333333"/>
          <w:spacing w:val="7"/>
          <w:sz w:val="24"/>
        </w:rPr>
        <w:t xml:space="preserve"> </w:t>
      </w:r>
      <w:r w:rsidRPr="007B2EAF">
        <w:rPr>
          <w:color w:val="333333"/>
          <w:sz w:val="24"/>
        </w:rPr>
        <w:t>CA2)</w:t>
      </w:r>
    </w:p>
    <w:p w14:paraId="3B6EA890" w14:textId="77777777" w:rsidR="002401A4" w:rsidRPr="007B2EAF" w:rsidRDefault="00E52D23">
      <w:pPr>
        <w:pStyle w:val="ListParagraph"/>
        <w:numPr>
          <w:ilvl w:val="0"/>
          <w:numId w:val="3"/>
        </w:numPr>
        <w:tabs>
          <w:tab w:val="left" w:pos="596"/>
        </w:tabs>
        <w:spacing w:before="141" w:line="244" w:lineRule="auto"/>
        <w:ind w:right="1593" w:firstLine="0"/>
        <w:jc w:val="both"/>
        <w:rPr>
          <w:sz w:val="24"/>
        </w:rPr>
      </w:pPr>
      <w:r w:rsidRPr="007B2EAF">
        <w:rPr>
          <w:color w:val="333333"/>
          <w:sz w:val="24"/>
        </w:rPr>
        <w:t>Phí dịch vụ duy trì hệ thống kiểm tra trạng thái chứng thư số (Theo thông tư 305/2016/BTC của Bộ Tài</w:t>
      </w:r>
      <w:r w:rsidRPr="007B2EAF">
        <w:rPr>
          <w:color w:val="333333"/>
          <w:spacing w:val="4"/>
          <w:sz w:val="24"/>
        </w:rPr>
        <w:t xml:space="preserve"> </w:t>
      </w:r>
      <w:r w:rsidRPr="007B2EAF">
        <w:rPr>
          <w:color w:val="333333"/>
          <w:sz w:val="24"/>
        </w:rPr>
        <w:t>Chính)</w:t>
      </w:r>
    </w:p>
    <w:p w14:paraId="1F455F9A" w14:textId="77777777" w:rsidR="002401A4" w:rsidRPr="007B2EAF" w:rsidRDefault="00E52D23">
      <w:pPr>
        <w:pStyle w:val="Heading1"/>
        <w:numPr>
          <w:ilvl w:val="0"/>
          <w:numId w:val="2"/>
        </w:numPr>
        <w:tabs>
          <w:tab w:val="left" w:pos="764"/>
        </w:tabs>
        <w:spacing w:before="142" w:line="242" w:lineRule="auto"/>
        <w:ind w:left="396" w:right="1593" w:firstLine="0"/>
      </w:pPr>
      <w:r w:rsidRPr="007B2EAF">
        <w:rPr>
          <w:color w:val="333333"/>
        </w:rPr>
        <w:t>Hình thức thanh toán: Khách hàng có thể thanh toán bằng tiền mặt hoặc chuyển</w:t>
      </w:r>
      <w:r w:rsidRPr="007B2EAF">
        <w:rPr>
          <w:color w:val="333333"/>
          <w:spacing w:val="1"/>
        </w:rPr>
        <w:t xml:space="preserve"> </w:t>
      </w:r>
      <w:r w:rsidRPr="007B2EAF">
        <w:rPr>
          <w:color w:val="333333"/>
        </w:rPr>
        <w:t>khoản.</w:t>
      </w:r>
    </w:p>
    <w:p w14:paraId="43714EC4" w14:textId="77777777" w:rsidR="002401A4" w:rsidRPr="007B2EAF" w:rsidRDefault="00E52D23">
      <w:pPr>
        <w:pStyle w:val="ListParagraph"/>
        <w:numPr>
          <w:ilvl w:val="0"/>
          <w:numId w:val="3"/>
        </w:numPr>
        <w:tabs>
          <w:tab w:val="left" w:pos="541"/>
        </w:tabs>
        <w:spacing w:before="143" w:line="367" w:lineRule="auto"/>
        <w:ind w:right="2453" w:firstLine="0"/>
        <w:rPr>
          <w:sz w:val="24"/>
        </w:rPr>
      </w:pPr>
      <w:r w:rsidRPr="007B2EAF">
        <w:rPr>
          <w:color w:val="333333"/>
          <w:sz w:val="24"/>
        </w:rPr>
        <w:t>Thanh toán bằng tiền mặt: Khách hàng nộp tiền mặt và nhận lại phiếu thu từ: o</w:t>
      </w:r>
      <w:r w:rsidRPr="007B2EAF">
        <w:rPr>
          <w:color w:val="333333"/>
          <w:spacing w:val="15"/>
          <w:sz w:val="24"/>
        </w:rPr>
        <w:t xml:space="preserve"> </w:t>
      </w:r>
      <w:r w:rsidRPr="007B2EAF">
        <w:rPr>
          <w:color w:val="333333"/>
          <w:sz w:val="24"/>
        </w:rPr>
        <w:t>Cán</w:t>
      </w:r>
      <w:r w:rsidRPr="007B2EAF">
        <w:rPr>
          <w:color w:val="333333"/>
          <w:spacing w:val="6"/>
          <w:sz w:val="24"/>
        </w:rPr>
        <w:t xml:space="preserve"> </w:t>
      </w:r>
      <w:r w:rsidRPr="007B2EAF">
        <w:rPr>
          <w:color w:val="333333"/>
          <w:sz w:val="24"/>
        </w:rPr>
        <w:t>bộ</w:t>
      </w:r>
      <w:r w:rsidRPr="007B2EAF">
        <w:rPr>
          <w:color w:val="333333"/>
          <w:spacing w:val="7"/>
          <w:sz w:val="24"/>
        </w:rPr>
        <w:t xml:space="preserve"> </w:t>
      </w:r>
      <w:r w:rsidRPr="007B2EAF">
        <w:rPr>
          <w:color w:val="333333"/>
          <w:sz w:val="24"/>
        </w:rPr>
        <w:t>kinh</w:t>
      </w:r>
      <w:r w:rsidRPr="007B2EAF">
        <w:rPr>
          <w:color w:val="333333"/>
          <w:spacing w:val="6"/>
          <w:sz w:val="24"/>
        </w:rPr>
        <w:t xml:space="preserve"> </w:t>
      </w:r>
      <w:r w:rsidRPr="007B2EAF">
        <w:rPr>
          <w:color w:val="333333"/>
          <w:sz w:val="24"/>
        </w:rPr>
        <w:t>doanh</w:t>
      </w:r>
      <w:r w:rsidRPr="007B2EAF">
        <w:rPr>
          <w:color w:val="333333"/>
          <w:spacing w:val="6"/>
          <w:sz w:val="24"/>
        </w:rPr>
        <w:t xml:space="preserve"> </w:t>
      </w:r>
      <w:r w:rsidRPr="007B2EAF">
        <w:rPr>
          <w:color w:val="333333"/>
          <w:sz w:val="24"/>
        </w:rPr>
        <w:t>trựctiếp</w:t>
      </w:r>
      <w:r w:rsidRPr="007B2EAF">
        <w:rPr>
          <w:color w:val="333333"/>
          <w:spacing w:val="5"/>
          <w:sz w:val="24"/>
        </w:rPr>
        <w:t xml:space="preserve"> </w:t>
      </w:r>
      <w:r w:rsidRPr="007B2EAF">
        <w:rPr>
          <w:color w:val="333333"/>
          <w:sz w:val="24"/>
        </w:rPr>
        <w:t>của</w:t>
      </w:r>
      <w:r w:rsidRPr="007B2EAF">
        <w:rPr>
          <w:color w:val="333333"/>
          <w:spacing w:val="3"/>
          <w:sz w:val="24"/>
        </w:rPr>
        <w:t xml:space="preserve"> </w:t>
      </w:r>
      <w:r w:rsidRPr="007B2EAF">
        <w:rPr>
          <w:color w:val="333333"/>
          <w:sz w:val="24"/>
        </w:rPr>
        <w:t>CA2</w:t>
      </w:r>
      <w:r w:rsidRPr="007B2EAF">
        <w:rPr>
          <w:color w:val="333333"/>
          <w:spacing w:val="6"/>
          <w:sz w:val="24"/>
        </w:rPr>
        <w:t xml:space="preserve"> </w:t>
      </w:r>
      <w:r w:rsidRPr="007B2EAF">
        <w:rPr>
          <w:color w:val="333333"/>
          <w:sz w:val="24"/>
        </w:rPr>
        <w:t>(có</w:t>
      </w:r>
      <w:r w:rsidRPr="007B2EAF">
        <w:rPr>
          <w:color w:val="333333"/>
          <w:spacing w:val="4"/>
          <w:sz w:val="24"/>
        </w:rPr>
        <w:t xml:space="preserve"> </w:t>
      </w:r>
      <w:r w:rsidRPr="007B2EAF">
        <w:rPr>
          <w:color w:val="333333"/>
          <w:sz w:val="24"/>
        </w:rPr>
        <w:t>giấy</w:t>
      </w:r>
      <w:r w:rsidRPr="007B2EAF">
        <w:rPr>
          <w:color w:val="333333"/>
          <w:spacing w:val="3"/>
          <w:sz w:val="24"/>
        </w:rPr>
        <w:t xml:space="preserve"> </w:t>
      </w:r>
      <w:r w:rsidRPr="007B2EAF">
        <w:rPr>
          <w:color w:val="333333"/>
          <w:sz w:val="24"/>
        </w:rPr>
        <w:t>giới</w:t>
      </w:r>
      <w:r w:rsidRPr="007B2EAF">
        <w:rPr>
          <w:color w:val="333333"/>
          <w:spacing w:val="6"/>
          <w:sz w:val="24"/>
        </w:rPr>
        <w:t xml:space="preserve"> </w:t>
      </w:r>
      <w:r w:rsidRPr="007B2EAF">
        <w:rPr>
          <w:color w:val="333333"/>
          <w:sz w:val="24"/>
        </w:rPr>
        <w:t>thiệu</w:t>
      </w:r>
      <w:r w:rsidRPr="007B2EAF">
        <w:rPr>
          <w:color w:val="333333"/>
          <w:spacing w:val="3"/>
          <w:sz w:val="24"/>
        </w:rPr>
        <w:t xml:space="preserve"> </w:t>
      </w:r>
      <w:r w:rsidRPr="007B2EAF">
        <w:rPr>
          <w:color w:val="333333"/>
          <w:sz w:val="24"/>
        </w:rPr>
        <w:t>của</w:t>
      </w:r>
      <w:r w:rsidRPr="007B2EAF">
        <w:rPr>
          <w:color w:val="333333"/>
          <w:spacing w:val="6"/>
          <w:sz w:val="24"/>
        </w:rPr>
        <w:t xml:space="preserve"> </w:t>
      </w:r>
      <w:r w:rsidRPr="007B2EAF">
        <w:rPr>
          <w:color w:val="333333"/>
          <w:sz w:val="24"/>
        </w:rPr>
        <w:t>CA2)</w:t>
      </w:r>
      <w:r w:rsidRPr="007B2EAF">
        <w:rPr>
          <w:color w:val="333333"/>
          <w:spacing w:val="6"/>
          <w:sz w:val="24"/>
        </w:rPr>
        <w:t xml:space="preserve"> </w:t>
      </w:r>
      <w:r w:rsidRPr="007B2EAF">
        <w:rPr>
          <w:color w:val="333333"/>
          <w:sz w:val="24"/>
        </w:rPr>
        <w:t>hoặc</w:t>
      </w:r>
    </w:p>
    <w:p w14:paraId="6CE79B67" w14:textId="77777777" w:rsidR="002401A4" w:rsidRPr="007B2EAF" w:rsidRDefault="00E52D23">
      <w:pPr>
        <w:pStyle w:val="BodyText"/>
        <w:spacing w:before="1" w:line="244" w:lineRule="auto"/>
        <w:ind w:right="1608"/>
      </w:pPr>
      <w:r w:rsidRPr="007B2EAF">
        <w:rPr>
          <w:color w:val="333333"/>
        </w:rPr>
        <w:t>o Cán bộ của RA/DL được CA2 ủy quyền (có bản sao hoặc scan hợp đồng Đại lý và giấy giới thiệu từ</w:t>
      </w:r>
      <w:r w:rsidRPr="007B2EAF">
        <w:rPr>
          <w:color w:val="333333"/>
          <w:spacing w:val="3"/>
        </w:rPr>
        <w:t xml:space="preserve"> </w:t>
      </w:r>
      <w:r w:rsidRPr="007B2EAF">
        <w:rPr>
          <w:color w:val="333333"/>
        </w:rPr>
        <w:t>RA/DL)</w:t>
      </w:r>
    </w:p>
    <w:p w14:paraId="0C41B555" w14:textId="77777777" w:rsidR="002401A4" w:rsidRPr="007B2EAF" w:rsidRDefault="00E52D23">
      <w:pPr>
        <w:pStyle w:val="ListParagraph"/>
        <w:numPr>
          <w:ilvl w:val="0"/>
          <w:numId w:val="3"/>
        </w:numPr>
        <w:tabs>
          <w:tab w:val="left" w:pos="541"/>
        </w:tabs>
        <w:spacing w:line="367" w:lineRule="auto"/>
        <w:ind w:right="3638" w:firstLine="0"/>
        <w:rPr>
          <w:sz w:val="24"/>
        </w:rPr>
      </w:pPr>
      <w:r w:rsidRPr="007B2EAF">
        <w:rPr>
          <w:color w:val="333333"/>
          <w:sz w:val="24"/>
        </w:rPr>
        <w:t>Chuyển khoản: Khách hàng chuyển khoản về thông tin tài khoản CÔNG TY CỔ PHẦN CÔNG NGHỆ THẺ</w:t>
      </w:r>
      <w:r w:rsidRPr="007B2EAF">
        <w:rPr>
          <w:color w:val="333333"/>
          <w:spacing w:val="44"/>
          <w:sz w:val="24"/>
        </w:rPr>
        <w:t xml:space="preserve"> </w:t>
      </w:r>
      <w:r w:rsidRPr="007B2EAF">
        <w:rPr>
          <w:color w:val="333333"/>
          <w:sz w:val="24"/>
        </w:rPr>
        <w:t>NACENCOMM</w:t>
      </w:r>
    </w:p>
    <w:p w14:paraId="4FD63B8B" w14:textId="77777777" w:rsidR="002401A4" w:rsidRPr="007B2EAF" w:rsidRDefault="002401A4">
      <w:pPr>
        <w:spacing w:line="367" w:lineRule="auto"/>
        <w:rPr>
          <w:sz w:val="24"/>
        </w:rPr>
        <w:sectPr w:rsidR="002401A4" w:rsidRPr="007B2EAF">
          <w:type w:val="continuous"/>
          <w:pgSz w:w="12240" w:h="15840"/>
          <w:pgMar w:top="0" w:right="0" w:bottom="280" w:left="1720" w:header="720" w:footer="720" w:gutter="0"/>
          <w:cols w:space="720"/>
        </w:sectPr>
      </w:pPr>
    </w:p>
    <w:p w14:paraId="68B73024" w14:textId="77777777" w:rsidR="002401A4" w:rsidRPr="007B2EAF" w:rsidRDefault="00E52D23">
      <w:pPr>
        <w:pStyle w:val="BodyText"/>
        <w:spacing w:before="72"/>
      </w:pPr>
      <w:r w:rsidRPr="007B2EAF">
        <w:rPr>
          <w:color w:val="333333"/>
        </w:rPr>
        <w:lastRenderedPageBreak/>
        <w:t>Tài khoản: 103.216.566.22015 – tại Ngân hàng Techcombank – Chi nhánh Thăng Long</w:t>
      </w:r>
    </w:p>
    <w:p w14:paraId="56BEBD74" w14:textId="77777777" w:rsidR="002401A4" w:rsidRPr="007B2EAF" w:rsidRDefault="00E52D23">
      <w:pPr>
        <w:pStyle w:val="BodyText"/>
        <w:spacing w:before="3"/>
      </w:pPr>
      <w:r w:rsidRPr="007B2EAF">
        <w:rPr>
          <w:color w:val="333333"/>
        </w:rPr>
        <w:t>– Phòng giao dịch Kim Liên – HN</w:t>
      </w:r>
    </w:p>
    <w:p w14:paraId="6E76E5F4" w14:textId="77777777" w:rsidR="002401A4" w:rsidRPr="007B2EAF" w:rsidRDefault="00E52D23">
      <w:pPr>
        <w:pStyle w:val="BodyText"/>
      </w:pPr>
      <w:r w:rsidRPr="007B2EAF">
        <w:rPr>
          <w:color w:val="333333"/>
        </w:rPr>
        <w:t>Hoặc: Chi nhánh tại TP.HCM – Công ty cổ phần công nghệ thẻ Nacencomm</w:t>
      </w:r>
    </w:p>
    <w:p w14:paraId="6260A12C" w14:textId="77777777" w:rsidR="002401A4" w:rsidRPr="007B2EAF" w:rsidRDefault="00E52D23">
      <w:pPr>
        <w:pStyle w:val="BodyText"/>
        <w:spacing w:before="149" w:line="242" w:lineRule="auto"/>
        <w:ind w:right="1608"/>
      </w:pPr>
      <w:r w:rsidRPr="007B2EAF">
        <w:rPr>
          <w:color w:val="333333"/>
        </w:rPr>
        <w:t>Tài khoản: 48689868 – Ngân hàng Việt Nam Thịnh Vượng (VP Bank) – Chi nhánh Gia Định – TP.HCM</w:t>
      </w:r>
    </w:p>
    <w:p w14:paraId="3014059A" w14:textId="77777777" w:rsidR="002401A4" w:rsidRPr="007B2EAF" w:rsidRDefault="00E52D23">
      <w:pPr>
        <w:pStyle w:val="BodyText"/>
        <w:spacing w:before="143"/>
      </w:pPr>
      <w:r w:rsidRPr="007B2EAF">
        <w:rPr>
          <w:color w:val="333333"/>
        </w:rPr>
        <w:t>Nội dung chuyển tiền: “Tên công ty” – “MST” – Chuyển tiền dịch vụ chứng thư số CA2</w:t>
      </w:r>
    </w:p>
    <w:p w14:paraId="0B27BF03" w14:textId="77777777" w:rsidR="002401A4" w:rsidRPr="007B2EAF" w:rsidRDefault="00E52D23">
      <w:pPr>
        <w:pStyle w:val="BodyText"/>
        <w:spacing w:before="5" w:line="244" w:lineRule="auto"/>
        <w:ind w:right="1608"/>
      </w:pPr>
      <w:r w:rsidRPr="007B2EAF">
        <w:rPr>
          <w:color w:val="333333"/>
        </w:rPr>
        <w:t>* Lưu ý: sau khi chuyển khoản vui lòng fax ủy nhiệm chi đến số: 02435765147 hoặc 02862587470 (chi nhánh tại TP.HCM) để báo xác nhận thanh toán.</w:t>
      </w:r>
    </w:p>
    <w:p w14:paraId="0ED7964F" w14:textId="77777777" w:rsidR="002401A4" w:rsidRPr="007B2EAF" w:rsidRDefault="00E52D23">
      <w:pPr>
        <w:pStyle w:val="Heading1"/>
        <w:numPr>
          <w:ilvl w:val="0"/>
          <w:numId w:val="2"/>
        </w:numPr>
        <w:tabs>
          <w:tab w:val="left" w:pos="886"/>
          <w:tab w:val="left" w:pos="887"/>
        </w:tabs>
        <w:ind w:left="886" w:hanging="491"/>
      </w:pPr>
      <w:r w:rsidRPr="007B2EAF">
        <w:rPr>
          <w:color w:val="333333"/>
        </w:rPr>
        <w:t>Quy trình khiếu nại và xử lý khiếu</w:t>
      </w:r>
      <w:r w:rsidRPr="007B2EAF">
        <w:rPr>
          <w:color w:val="333333"/>
          <w:spacing w:val="13"/>
        </w:rPr>
        <w:t xml:space="preserve"> </w:t>
      </w:r>
      <w:r w:rsidRPr="007B2EAF">
        <w:rPr>
          <w:color w:val="333333"/>
        </w:rPr>
        <w:t>nại:</w:t>
      </w:r>
    </w:p>
    <w:p w14:paraId="7FADFB5C" w14:textId="77777777" w:rsidR="002401A4" w:rsidRPr="007B2EAF" w:rsidRDefault="00E52D23">
      <w:pPr>
        <w:pStyle w:val="BodyText"/>
        <w:spacing w:before="149" w:line="242" w:lineRule="auto"/>
        <w:ind w:right="1608"/>
      </w:pPr>
      <w:r w:rsidRPr="007B2EAF">
        <w:rPr>
          <w:color w:val="333333"/>
        </w:rPr>
        <w:t>Bước 1: Khách hàng có thể khiếu nại, thắc mắc các vấn đề liên quan dịch vụ qua văn bản, email, điện thoại hoặc trực tiếp tại CA2.</w:t>
      </w:r>
    </w:p>
    <w:p w14:paraId="5090EE22" w14:textId="77777777" w:rsidR="002401A4" w:rsidRPr="007B2EAF" w:rsidRDefault="00E52D23">
      <w:pPr>
        <w:pStyle w:val="BodyText"/>
        <w:spacing w:before="143"/>
      </w:pPr>
      <w:r w:rsidRPr="007B2EAF">
        <w:rPr>
          <w:color w:val="333333"/>
        </w:rPr>
        <w:t>Bước 2: Bộ phận tiếp nhận và xử lý khiếu nại tiếp nhận.</w:t>
      </w:r>
    </w:p>
    <w:p w14:paraId="630C75FA" w14:textId="77777777" w:rsidR="002401A4" w:rsidRPr="007B2EAF" w:rsidRDefault="00E52D23">
      <w:pPr>
        <w:pStyle w:val="BodyText"/>
        <w:spacing w:line="244" w:lineRule="auto"/>
        <w:ind w:right="1591"/>
        <w:jc w:val="both"/>
      </w:pPr>
      <w:r w:rsidRPr="007B2EAF">
        <w:rPr>
          <w:color w:val="333333"/>
        </w:rPr>
        <w:t>Bước 3: Các vấn đề liên quan đến dịch vụ của CA2 và trong thời hiệu khiếu nại sẽ được tiếp nhận xử lý. Các vấn đề không liên quan đến dịch vụ CA2 hoặc các vấn đề quá thời hiệu khiếu nại thì sẽ được thông báo bằng văn bản cho người khiếu nại biết và nêu rõ lý do từ chối tiếp nhận khiếu nại.</w:t>
      </w:r>
    </w:p>
    <w:p w14:paraId="7016D9AD" w14:textId="77777777" w:rsidR="002401A4" w:rsidRPr="007B2EAF" w:rsidRDefault="00E52D23">
      <w:pPr>
        <w:pStyle w:val="BodyText"/>
        <w:spacing w:before="139" w:line="244" w:lineRule="auto"/>
        <w:ind w:right="1590"/>
        <w:jc w:val="both"/>
      </w:pPr>
      <w:r w:rsidRPr="007B2EAF">
        <w:rPr>
          <w:color w:val="333333"/>
        </w:rPr>
        <w:t>Bước 4: Các vấn đề có thể xử lý được ngay, đối với khách hàng khiếu nại trực tiếp tại trụ sở CA2 thì bộ phận tiếp nhận và xử lý khiếu nại trả lời khách hàng trực tiếp đồng thời lập biên bản xử lý khiếu nại. Đối với khách hàng không khiếu nại trực tiếp mà qua các hình thức khác (như email, văn bản...) thì sẽ được trả lời qua văn bản hoặc email trong vòng 05 ngày làm</w:t>
      </w:r>
      <w:r w:rsidRPr="007B2EAF">
        <w:rPr>
          <w:color w:val="333333"/>
          <w:spacing w:val="10"/>
        </w:rPr>
        <w:t xml:space="preserve"> </w:t>
      </w:r>
      <w:r w:rsidRPr="007B2EAF">
        <w:rPr>
          <w:color w:val="333333"/>
        </w:rPr>
        <w:t>việc.</w:t>
      </w:r>
    </w:p>
    <w:p w14:paraId="37A9A43B" w14:textId="77777777" w:rsidR="002401A4" w:rsidRPr="007B2EAF" w:rsidRDefault="00E52D23">
      <w:pPr>
        <w:pStyle w:val="BodyText"/>
        <w:spacing w:before="141" w:line="242" w:lineRule="auto"/>
        <w:ind w:right="1591"/>
        <w:jc w:val="both"/>
      </w:pPr>
      <w:r w:rsidRPr="007B2EAF">
        <w:rPr>
          <w:color w:val="333333"/>
        </w:rPr>
        <w:t>Bước 5: Các vấn đề bộ phận Tiếp nhận và xử lý khiếu nại không xử lý được ngay thì sẽ viết phiếu tiếp nhận xử lý khiếu nại gửi cho khách hàng.</w:t>
      </w:r>
    </w:p>
    <w:p w14:paraId="020E31F2" w14:textId="77777777" w:rsidR="002401A4" w:rsidRPr="007B2EAF" w:rsidRDefault="00E52D23">
      <w:pPr>
        <w:pStyle w:val="BodyText"/>
        <w:spacing w:before="143" w:line="244" w:lineRule="auto"/>
        <w:ind w:right="1591"/>
        <w:jc w:val="both"/>
      </w:pPr>
      <w:r w:rsidRPr="007B2EAF">
        <w:rPr>
          <w:color w:val="333333"/>
        </w:rPr>
        <w:t>Bước 6: Bộ phận Tiếp nhận và xử lý khiếu nại sau khi viết phiếu tiếp nhận khiếu nại sẽ phân loại và chuyển tới các bộ phận liên quan để điều tra làm rõ.</w:t>
      </w:r>
    </w:p>
    <w:p w14:paraId="759EC177" w14:textId="77777777" w:rsidR="002401A4" w:rsidRPr="007B2EAF" w:rsidRDefault="00E52D23">
      <w:pPr>
        <w:pStyle w:val="BodyText"/>
        <w:spacing w:before="140" w:line="244" w:lineRule="auto"/>
        <w:ind w:right="1593"/>
        <w:jc w:val="both"/>
      </w:pPr>
      <w:r w:rsidRPr="007B2EAF">
        <w:rPr>
          <w:color w:val="333333"/>
        </w:rPr>
        <w:t>Bước 7: Các bộ phận liên quan điều tra và xác minh làm rõ, sau đó chuyển lại thông tin cho bộ phận Tiếp nhận và xử lý khiếu nại.</w:t>
      </w:r>
    </w:p>
    <w:p w14:paraId="6670E70B" w14:textId="77777777" w:rsidR="002401A4" w:rsidRPr="007B2EAF" w:rsidRDefault="00E52D23">
      <w:pPr>
        <w:pStyle w:val="BodyText"/>
        <w:spacing w:before="143" w:line="242" w:lineRule="auto"/>
        <w:ind w:right="1591"/>
        <w:jc w:val="both"/>
      </w:pPr>
      <w:r w:rsidRPr="007B2EAF">
        <w:rPr>
          <w:color w:val="333333"/>
        </w:rPr>
        <w:t>Bước 8: Bộ phận tiếp nhận và xử lý khiếu nại trả lời khách hàng theo kết quả điều tra của các bộ phận liên quan trong 20 ngày làm việc kể từ ngày viết phiếu tiếp nhận khiếu nại.</w:t>
      </w:r>
    </w:p>
    <w:p w14:paraId="145C88A9" w14:textId="77777777" w:rsidR="002401A4" w:rsidRPr="007B2EAF" w:rsidRDefault="00E52D23">
      <w:pPr>
        <w:pStyle w:val="BodyText"/>
        <w:spacing w:before="148" w:line="242" w:lineRule="auto"/>
        <w:ind w:right="1591"/>
        <w:jc w:val="both"/>
      </w:pPr>
      <w:r w:rsidRPr="007B2EAF">
        <w:rPr>
          <w:color w:val="333333"/>
        </w:rPr>
        <w:t>Bước 9: Nếu khách hàng đồng ý với kết quả trả lời thì Bộ phận tiếp nhận và xử lý khiếu nại sẽ lưu hồ sơ và kết thúc.</w:t>
      </w:r>
    </w:p>
    <w:p w14:paraId="3CF371F1" w14:textId="77777777" w:rsidR="002401A4" w:rsidRPr="007B2EAF" w:rsidRDefault="00E52D23">
      <w:pPr>
        <w:pStyle w:val="BodyText"/>
        <w:spacing w:before="143" w:line="242" w:lineRule="auto"/>
        <w:ind w:right="1593"/>
        <w:jc w:val="both"/>
      </w:pPr>
      <w:r w:rsidRPr="007B2EAF">
        <w:rPr>
          <w:color w:val="333333"/>
        </w:rPr>
        <w:t>Bước 10: Khách hàng có văn bản không đồng ý với kể quả trả lời thì Bộ phận tiếp nhận và xử lý khiếu nại tiếp nhận, điều tra xác mnh lại và trả lời khách hàng.</w:t>
      </w:r>
    </w:p>
    <w:p w14:paraId="62670D61" w14:textId="77777777" w:rsidR="002401A4" w:rsidRPr="007B2EAF" w:rsidRDefault="00E52D23">
      <w:pPr>
        <w:pStyle w:val="BodyText"/>
        <w:spacing w:line="244" w:lineRule="auto"/>
        <w:ind w:right="1608"/>
        <w:rPr>
          <w:color w:val="333333"/>
        </w:rPr>
      </w:pPr>
      <w:r w:rsidRPr="007B2EAF">
        <w:rPr>
          <w:color w:val="333333"/>
        </w:rPr>
        <w:t xml:space="preserve">(Tham khảo QUY TRÌNH KHIẾU NẠI VÀ XỬ LÝ KHIẾU NẠI trên website: </w:t>
      </w:r>
      <w:hyperlink r:id="rId7" w:history="1">
        <w:r w:rsidR="00751BF9" w:rsidRPr="007B2EAF">
          <w:rPr>
            <w:rStyle w:val="Hyperlink"/>
          </w:rPr>
          <w:t>www.cavn.vn</w:t>
        </w:r>
      </w:hyperlink>
      <w:r w:rsidRPr="007B2EAF">
        <w:rPr>
          <w:color w:val="333333"/>
        </w:rPr>
        <w:t>)</w:t>
      </w:r>
    </w:p>
    <w:p w14:paraId="2679327C" w14:textId="735BF32F" w:rsidR="00751BF9" w:rsidRPr="00820A22" w:rsidRDefault="007B2EAF" w:rsidP="008B22BB">
      <w:pPr>
        <w:pStyle w:val="BodyText"/>
        <w:numPr>
          <w:ilvl w:val="0"/>
          <w:numId w:val="2"/>
        </w:numPr>
        <w:spacing w:line="276" w:lineRule="auto"/>
        <w:ind w:right="1520"/>
        <w:rPr>
          <w:b/>
        </w:rPr>
      </w:pPr>
      <w:r w:rsidRPr="00820A22">
        <w:rPr>
          <w:b/>
        </w:rPr>
        <w:t xml:space="preserve">Trách nhiệm </w:t>
      </w:r>
      <w:r w:rsidR="0042235C" w:rsidRPr="00820A22">
        <w:rPr>
          <w:b/>
        </w:rPr>
        <w:t>của CA2</w:t>
      </w:r>
      <w:r w:rsidR="008B22BB" w:rsidRPr="00820A22">
        <w:rPr>
          <w:b/>
        </w:rPr>
        <w:t xml:space="preserve"> trong việc đền bù khi có các rủi ro</w:t>
      </w:r>
      <w:r w:rsidR="0042235C" w:rsidRPr="00820A22">
        <w:rPr>
          <w:b/>
        </w:rPr>
        <w:t>:</w:t>
      </w:r>
    </w:p>
    <w:p w14:paraId="7898860F" w14:textId="2A9D1781" w:rsidR="0042235C" w:rsidRPr="00820A22" w:rsidRDefault="0042235C" w:rsidP="0042235C">
      <w:pPr>
        <w:pStyle w:val="BodyText"/>
        <w:spacing w:line="276" w:lineRule="auto"/>
        <w:ind w:right="1520" w:firstLine="324"/>
        <w:jc w:val="both"/>
        <w:rPr>
          <w:bCs/>
        </w:rPr>
      </w:pPr>
      <w:r w:rsidRPr="00820A22">
        <w:rPr>
          <w:bCs/>
        </w:rPr>
        <w:t>CA2 cam kết bảo mật thông tin của Khách hàng theo quy định an toàn bảo mật của Công ty và đảm bảo không cung cấp thông tin này cho bên thứ ba trừ trường hợp khi có yêu cầu của cơ quan quản lý Nhà Nước có thẩm quyền theo quy định của pháp luật.</w:t>
      </w:r>
    </w:p>
    <w:p w14:paraId="48BB3B36" w14:textId="77777777" w:rsidR="0087145B" w:rsidRDefault="008B22BB" w:rsidP="0087145B">
      <w:pPr>
        <w:pStyle w:val="BodyText"/>
        <w:spacing w:line="276" w:lineRule="auto"/>
        <w:ind w:right="1520" w:firstLine="324"/>
        <w:rPr>
          <w:lang w:val="da-DK"/>
        </w:rPr>
      </w:pPr>
      <w:r w:rsidRPr="00820A22">
        <w:rPr>
          <w:lang w:val="da-DK"/>
        </w:rPr>
        <w:t xml:space="preserve">Đảm bảo an toàn thông tin riêng, thông tin cá nhân và thiết bị di động tin cậy theo </w:t>
      </w:r>
      <w:r w:rsidRPr="00820A22">
        <w:rPr>
          <w:lang w:val="da-DK"/>
        </w:rPr>
        <w:lastRenderedPageBreak/>
        <w:t>quy định của pháp luật về an toàn thông tin và pháp luật khác có liên quan.</w:t>
      </w:r>
    </w:p>
    <w:p w14:paraId="338DDADE" w14:textId="51DB7343" w:rsidR="0087145B" w:rsidRPr="0087145B" w:rsidRDefault="0087145B" w:rsidP="0087145B">
      <w:pPr>
        <w:pStyle w:val="BodyText"/>
        <w:spacing w:line="276" w:lineRule="auto"/>
        <w:ind w:left="0" w:right="1520" w:firstLine="720"/>
        <w:rPr>
          <w:lang w:val="da-DK"/>
        </w:rPr>
      </w:pPr>
      <w:r>
        <w:t xml:space="preserve"> </w:t>
      </w:r>
      <w:r w:rsidRPr="00820A22">
        <w:t>Quản lý sử dụng và lưu trữ thông tin dữ liệu riêng tư đúng mục đích</w:t>
      </w:r>
      <w:r>
        <w:t>.</w:t>
      </w:r>
    </w:p>
    <w:p w14:paraId="62660BC9" w14:textId="43C80C03" w:rsidR="008B22BB" w:rsidRPr="00820A22" w:rsidRDefault="008B22BB" w:rsidP="008B22BB">
      <w:pPr>
        <w:pStyle w:val="BodyText"/>
        <w:spacing w:line="276" w:lineRule="auto"/>
        <w:ind w:right="1520" w:firstLine="324"/>
        <w:rPr>
          <w:lang w:val="da-DK"/>
        </w:rPr>
      </w:pPr>
      <w:r w:rsidRPr="00820A22">
        <w:rPr>
          <w:lang w:val="da-DK"/>
        </w:rPr>
        <w:t>Giải quyết các rủi ro và các khoản đền bù xảy ra cho thuê bao</w:t>
      </w:r>
      <w:r w:rsidR="00820A22" w:rsidRPr="00820A22">
        <w:rPr>
          <w:lang w:val="da-DK"/>
        </w:rPr>
        <w:t>:</w:t>
      </w:r>
    </w:p>
    <w:p w14:paraId="6C81A927" w14:textId="096BE267" w:rsidR="00820A22" w:rsidRPr="00820A22" w:rsidRDefault="00820A22" w:rsidP="00820A22">
      <w:pPr>
        <w:pStyle w:val="BodyText"/>
        <w:numPr>
          <w:ilvl w:val="0"/>
          <w:numId w:val="8"/>
        </w:numPr>
        <w:spacing w:line="276" w:lineRule="auto"/>
        <w:ind w:right="1520"/>
      </w:pPr>
      <w:r w:rsidRPr="00820A22">
        <w:rPr>
          <w:lang w:val="da-DK"/>
        </w:rPr>
        <w:t>Trách nhiệm tài chính:</w:t>
      </w:r>
    </w:p>
    <w:p w14:paraId="55A03A5F" w14:textId="19A0666C" w:rsidR="0042235C" w:rsidRPr="00820A22" w:rsidRDefault="0042235C" w:rsidP="0042235C">
      <w:pPr>
        <w:pStyle w:val="BodyText"/>
        <w:numPr>
          <w:ilvl w:val="0"/>
          <w:numId w:val="7"/>
        </w:numPr>
        <w:spacing w:line="276" w:lineRule="auto"/>
        <w:ind w:right="1520"/>
      </w:pPr>
      <w:r w:rsidRPr="00820A22">
        <w:t>Bảo lãnh Ngân hàng theo Nghị định 130/2018/NĐ-CP</w:t>
      </w:r>
    </w:p>
    <w:p w14:paraId="24F961F4" w14:textId="0B854706" w:rsidR="0042235C" w:rsidRPr="00820A22" w:rsidRDefault="0042235C" w:rsidP="0042235C">
      <w:pPr>
        <w:pStyle w:val="BodyText"/>
        <w:spacing w:line="276" w:lineRule="auto"/>
        <w:ind w:right="1520" w:firstLine="324"/>
        <w:jc w:val="both"/>
      </w:pPr>
      <w:r w:rsidRPr="00820A22">
        <w:t>CA2 ký quỹ tại Ngân hàng Thương mại Cổ phần Tiên Phong – Chi nhánh Hà Nội với số tiền 5.010.000.000 đ (Năm tỷ không trăm mười triệu đồng chẵn) để giải quyết các rủi ro và các khoản đền bù có thể xảy ra trong quá trình cung cấp dịch vụ do lỗi của CA2.</w:t>
      </w:r>
    </w:p>
    <w:p w14:paraId="17D009E3" w14:textId="04C36C44" w:rsidR="007B2EAF" w:rsidRPr="00820A22" w:rsidRDefault="0042235C" w:rsidP="0042235C">
      <w:pPr>
        <w:pStyle w:val="BodyText"/>
        <w:numPr>
          <w:ilvl w:val="0"/>
          <w:numId w:val="7"/>
        </w:numPr>
        <w:spacing w:line="276" w:lineRule="auto"/>
        <w:ind w:right="1520"/>
      </w:pPr>
      <w:r w:rsidRPr="00820A22">
        <w:t>Bảo hiểm dịch vụ:</w:t>
      </w:r>
    </w:p>
    <w:p w14:paraId="2318149F" w14:textId="43FCFC07" w:rsidR="007B2EAF" w:rsidRPr="00820A22" w:rsidRDefault="0042235C" w:rsidP="0042235C">
      <w:pPr>
        <w:pStyle w:val="BodyText"/>
        <w:spacing w:line="276" w:lineRule="auto"/>
        <w:ind w:right="1520" w:firstLine="324"/>
        <w:jc w:val="both"/>
      </w:pPr>
      <w:r w:rsidRPr="00820A22">
        <w:t>CA2 ký bảo hiểm trách nhiệm nghề nghiệp. Bảo hiểm được giao kết trong thời gian liên tục và được gia hạn hàng năm. Bảo hiểm sẽ bao gồm trách nhiệm của CA2 đối với người sử dụng và các bên đối với các thiệt hại vật chất và phi vật chất trong giới hạn được quy định trong luật hiện hành. Khi xảy ra sự kiện có thể dẫn đến yêu cầu bồi thường thiệt hại thuộc phạm vi bảo hiểm, đương sự phải thông báo bằng văn bản cho CA2 và công ty bảo hiểm trong vòng 7 ngày sau khi biết về sự kiện. Phạm vi bảo hiểm cho những thiệt hại phi vật chất và / hoặc vật chất mà chủ sở hữu / người chữ ký số phải chịu sẽ không vượt quá số tiền được quy định bởi luật.</w:t>
      </w:r>
    </w:p>
    <w:p w14:paraId="2521C88C" w14:textId="4AD9B0AC" w:rsidR="001C6276" w:rsidRPr="00820A22" w:rsidRDefault="00820A22" w:rsidP="001C6918">
      <w:pPr>
        <w:pStyle w:val="BodyText"/>
        <w:spacing w:line="276" w:lineRule="auto"/>
        <w:ind w:right="1520"/>
        <w:jc w:val="both"/>
      </w:pPr>
      <w:r w:rsidRPr="00820A22">
        <w:t>b</w:t>
      </w:r>
      <w:r w:rsidR="001C6276" w:rsidRPr="00820A22">
        <w:t>.</w:t>
      </w:r>
      <w:r w:rsidR="003B466E" w:rsidRPr="00820A22">
        <w:t xml:space="preserve"> </w:t>
      </w:r>
      <w:r w:rsidR="001C6276" w:rsidRPr="00820A22">
        <w:t xml:space="preserve">CA2 có trách nhiệm bồi thường thiệt hại, rủ </w:t>
      </w:r>
      <w:r w:rsidR="0042235C" w:rsidRPr="00820A22">
        <w:t>r</w:t>
      </w:r>
      <w:r w:rsidR="001C6276" w:rsidRPr="00820A22">
        <w:t xml:space="preserve">o cho </w:t>
      </w:r>
      <w:r w:rsidR="007B2EAF" w:rsidRPr="00820A22">
        <w:t>Khách hàng</w:t>
      </w:r>
      <w:r w:rsidR="001C6276" w:rsidRPr="00820A22">
        <w:t xml:space="preserve"> trong những trường hợp sau:</w:t>
      </w:r>
    </w:p>
    <w:p w14:paraId="1C177475" w14:textId="77777777" w:rsidR="001C6276" w:rsidRPr="00820A22" w:rsidRDefault="001C6276" w:rsidP="001C6918">
      <w:pPr>
        <w:pStyle w:val="BodyText"/>
        <w:spacing w:line="276" w:lineRule="auto"/>
        <w:ind w:right="1520"/>
      </w:pPr>
      <w:r w:rsidRPr="00820A22">
        <w:t>-</w:t>
      </w:r>
      <w:r w:rsidR="004F7E1C" w:rsidRPr="00820A22">
        <w:t xml:space="preserve"> </w:t>
      </w:r>
      <w:r w:rsidRPr="00820A22">
        <w:t>Thiệt hại xảy ra khi CA2 để lộ quá trình tạo khóa, lộ khóa bí mật trong quá trình chuyển giao, lưu trữ khóa bí mật và thông tin của thuê bao.</w:t>
      </w:r>
    </w:p>
    <w:p w14:paraId="4ADB7EED" w14:textId="77777777" w:rsidR="000F000E" w:rsidRPr="00820A22" w:rsidRDefault="00FF695A" w:rsidP="001C6918">
      <w:pPr>
        <w:pStyle w:val="BodyText"/>
        <w:spacing w:line="276" w:lineRule="auto"/>
        <w:ind w:right="1520"/>
      </w:pPr>
      <w:r w:rsidRPr="00820A22">
        <w:t xml:space="preserve"> </w:t>
      </w:r>
      <w:r w:rsidR="001C6276" w:rsidRPr="00820A22">
        <w:t>-</w:t>
      </w:r>
      <w:r w:rsidR="004F7E1C" w:rsidRPr="00820A22">
        <w:t xml:space="preserve"> </w:t>
      </w:r>
      <w:r w:rsidR="001C6276" w:rsidRPr="00820A22">
        <w:t>Thiệt hại xảy ra là hậu quả của việc để lộ thông tin của thuê bao mà CA2 có nghĩa vụ lưu trữ bí mật.</w:t>
      </w:r>
    </w:p>
    <w:p w14:paraId="61A11C71" w14:textId="77777777" w:rsidR="001C6276" w:rsidRPr="00820A22" w:rsidRDefault="00453F40" w:rsidP="001C6918">
      <w:pPr>
        <w:pStyle w:val="BodyText"/>
        <w:spacing w:line="276" w:lineRule="auto"/>
        <w:ind w:right="1520"/>
      </w:pPr>
      <w:r w:rsidRPr="00820A22">
        <w:t xml:space="preserve"> </w:t>
      </w:r>
      <w:r w:rsidR="001C6276" w:rsidRPr="00820A22">
        <w:t>-</w:t>
      </w:r>
      <w:r w:rsidR="004F7E1C" w:rsidRPr="00820A22">
        <w:t xml:space="preserve"> </w:t>
      </w:r>
      <w:r w:rsidR="001C6276" w:rsidRPr="00820A22">
        <w:t xml:space="preserve">Thiệt hại xảy ra là đưa lên chứng thư số những thông tin không chính xác so với những thông tin do thuê bao cung cấp. </w:t>
      </w:r>
    </w:p>
    <w:p w14:paraId="7CCD0CCA" w14:textId="705E5D69" w:rsidR="004B6DCA" w:rsidRPr="00820A22" w:rsidRDefault="004B6DCA" w:rsidP="001C6918">
      <w:pPr>
        <w:pStyle w:val="BodyText"/>
        <w:spacing w:line="276" w:lineRule="auto"/>
        <w:ind w:right="1520"/>
      </w:pPr>
      <w:r w:rsidRPr="00820A22">
        <w:rPr>
          <w:rFonts w:ascii="Arial" w:hAnsi="Arial" w:cs="Arial"/>
          <w:sz w:val="22"/>
          <w:szCs w:val="22"/>
        </w:rPr>
        <w:t>-</w:t>
      </w:r>
      <w:r w:rsidR="008B22BB" w:rsidRPr="00820A22">
        <w:rPr>
          <w:rFonts w:ascii="Arial" w:hAnsi="Arial" w:cs="Arial"/>
          <w:sz w:val="22"/>
          <w:szCs w:val="22"/>
        </w:rPr>
        <w:t xml:space="preserve"> </w:t>
      </w:r>
      <w:r w:rsidRPr="00820A22">
        <w:t>Thiệt hại xảy ra là hậu quả của việc không tuân thủ các quy định tại khoản 2,3 điều 28 Nghị định 130/2018/NĐ- CP</w:t>
      </w:r>
    </w:p>
    <w:p w14:paraId="6170973E" w14:textId="6CFF55D1" w:rsidR="001C6276" w:rsidRPr="00820A22" w:rsidRDefault="004D6339" w:rsidP="001C6918">
      <w:pPr>
        <w:pStyle w:val="BodyText"/>
        <w:spacing w:line="276" w:lineRule="auto"/>
        <w:ind w:right="1520"/>
      </w:pPr>
      <w:r w:rsidRPr="00820A22">
        <w:t xml:space="preserve"> </w:t>
      </w:r>
      <w:r w:rsidR="004B4A04" w:rsidRPr="00820A22">
        <w:t>-</w:t>
      </w:r>
      <w:r w:rsidR="00FF695A" w:rsidRPr="00820A22">
        <w:t xml:space="preserve"> </w:t>
      </w:r>
      <w:r w:rsidR="001C6276" w:rsidRPr="00820A22">
        <w:t>CA2 có trách nhiệm bồi thường t</w:t>
      </w:r>
      <w:r w:rsidR="00CE1752" w:rsidRPr="00820A22">
        <w:t>heo các mức bảo hiểm đã công bố.</w:t>
      </w:r>
    </w:p>
    <w:p w14:paraId="269C3921" w14:textId="4CD895C3" w:rsidR="001E0744" w:rsidRPr="00820A22" w:rsidRDefault="001E0744" w:rsidP="004B6DCA">
      <w:pPr>
        <w:pStyle w:val="Heading1"/>
        <w:numPr>
          <w:ilvl w:val="0"/>
          <w:numId w:val="6"/>
        </w:numPr>
        <w:tabs>
          <w:tab w:val="left" w:pos="886"/>
          <w:tab w:val="left" w:pos="887"/>
        </w:tabs>
      </w:pPr>
      <w:r w:rsidRPr="00820A22">
        <w:t>CA2 từ chối trách nhiệm trong các trường hợp sau:</w:t>
      </w:r>
    </w:p>
    <w:p w14:paraId="4ECD10CC" w14:textId="230F377C" w:rsidR="004D6339" w:rsidRPr="00820A22" w:rsidRDefault="00896510" w:rsidP="008B22BB">
      <w:pPr>
        <w:pStyle w:val="Heading1"/>
        <w:numPr>
          <w:ilvl w:val="0"/>
          <w:numId w:val="3"/>
        </w:numPr>
        <w:tabs>
          <w:tab w:val="left" w:pos="886"/>
          <w:tab w:val="left" w:pos="887"/>
          <w:tab w:val="left" w:pos="9090"/>
        </w:tabs>
        <w:ind w:right="1430"/>
        <w:jc w:val="both"/>
        <w:rPr>
          <w:b w:val="0"/>
        </w:rPr>
      </w:pPr>
      <w:r w:rsidRPr="00820A22">
        <w:rPr>
          <w:b w:val="0"/>
        </w:rPr>
        <w:t>Do Khách hàng trong khi sử dụng dịch vụ có hành vi vi phạm pháp luật, các thể lệ và quy định về khai thác dịch vụ; không thanh toán cước phí dịch vụ như quy định tại hợp đồng này</w:t>
      </w:r>
      <w:r w:rsidR="00C364E6" w:rsidRPr="00820A22">
        <w:rPr>
          <w:b w:val="0"/>
        </w:rPr>
        <w:t>.</w:t>
      </w:r>
    </w:p>
    <w:p w14:paraId="2C0A3A27" w14:textId="6CC2EC84" w:rsidR="004F5C60" w:rsidRPr="00BE54B5" w:rsidRDefault="008B22BB" w:rsidP="008B22BB">
      <w:pPr>
        <w:pStyle w:val="Heading1"/>
        <w:numPr>
          <w:ilvl w:val="0"/>
          <w:numId w:val="3"/>
        </w:numPr>
        <w:tabs>
          <w:tab w:val="left" w:pos="886"/>
          <w:tab w:val="left" w:pos="887"/>
        </w:tabs>
        <w:ind w:right="1610"/>
        <w:jc w:val="both"/>
        <w:rPr>
          <w:b w:val="0"/>
          <w:bCs w:val="0"/>
        </w:rPr>
      </w:pPr>
      <w:r w:rsidRPr="00BE54B5">
        <w:rPr>
          <w:b w:val="0"/>
          <w:bCs w:val="0"/>
        </w:rPr>
        <w:t>Khách hàng sử dụng môi trường thiết bị</w:t>
      </w:r>
      <w:r w:rsidR="000F0116" w:rsidRPr="00BE54B5">
        <w:rPr>
          <w:b w:val="0"/>
          <w:bCs w:val="0"/>
        </w:rPr>
        <w:t>,</w:t>
      </w:r>
      <w:r w:rsidRPr="00BE54B5">
        <w:rPr>
          <w:b w:val="0"/>
          <w:bCs w:val="0"/>
        </w:rPr>
        <w:t xml:space="preserve"> hệ điều hành</w:t>
      </w:r>
      <w:r w:rsidR="00FD6DE3" w:rsidRPr="00BE54B5">
        <w:rPr>
          <w:b w:val="0"/>
          <w:bCs w:val="0"/>
        </w:rPr>
        <w:t xml:space="preserve"> </w:t>
      </w:r>
      <w:r w:rsidR="004B03F2" w:rsidRPr="00BE54B5">
        <w:rPr>
          <w:b w:val="0"/>
          <w:bCs w:val="0"/>
        </w:rPr>
        <w:t>không an toàn</w:t>
      </w:r>
      <w:r w:rsidR="00FD6DE3" w:rsidRPr="00BE54B5">
        <w:rPr>
          <w:b w:val="0"/>
          <w:bCs w:val="0"/>
        </w:rPr>
        <w:t>: thiết bị root, jailbreak, thiết bị không có chứng nhận google protect, hệ điều hành bị can thiệ</w:t>
      </w:r>
      <w:r w:rsidR="00BE54B5" w:rsidRPr="00BE54B5">
        <w:rPr>
          <w:b w:val="0"/>
          <w:bCs w:val="0"/>
        </w:rPr>
        <w:t>p, các thiết bị cài đặt ứng dụng APP CA2 Mobile Sign từ các nguồn khác ngoài Apple Store và Google Play Store…</w:t>
      </w:r>
    </w:p>
    <w:p w14:paraId="327A7A1E" w14:textId="7C39E366" w:rsidR="00FD6DE3" w:rsidRPr="00820A22" w:rsidRDefault="00FD6DE3" w:rsidP="008B22BB">
      <w:pPr>
        <w:pStyle w:val="Heading1"/>
        <w:numPr>
          <w:ilvl w:val="0"/>
          <w:numId w:val="3"/>
        </w:numPr>
        <w:tabs>
          <w:tab w:val="left" w:pos="886"/>
          <w:tab w:val="left" w:pos="887"/>
        </w:tabs>
        <w:ind w:right="1610"/>
        <w:jc w:val="both"/>
        <w:rPr>
          <w:b w:val="0"/>
          <w:bCs w:val="0"/>
        </w:rPr>
      </w:pPr>
      <w:r>
        <w:rPr>
          <w:b w:val="0"/>
          <w:bCs w:val="0"/>
        </w:rPr>
        <w:t>Khách hàng làm lộ mã PIN, OTP hoặc thông tin truy cập email cá nhân đăng ký làm kênh xác thực.</w:t>
      </w:r>
    </w:p>
    <w:p w14:paraId="47D903A1" w14:textId="5168EA45" w:rsidR="008B22BB" w:rsidRPr="00820A22" w:rsidRDefault="008B22BB" w:rsidP="008B22BB">
      <w:pPr>
        <w:pStyle w:val="Heading1"/>
        <w:numPr>
          <w:ilvl w:val="0"/>
          <w:numId w:val="6"/>
        </w:numPr>
        <w:tabs>
          <w:tab w:val="left" w:pos="886"/>
          <w:tab w:val="left" w:pos="887"/>
        </w:tabs>
        <w:ind w:right="1610"/>
        <w:jc w:val="both"/>
      </w:pPr>
      <w:r w:rsidRPr="00820A22">
        <w:t xml:space="preserve">Quyền và trách nhiệm của Khách hàng: </w:t>
      </w:r>
    </w:p>
    <w:p w14:paraId="545C5FE0" w14:textId="76D6EFC9" w:rsidR="004B03F2" w:rsidRDefault="00820A22" w:rsidP="00820A22">
      <w:pPr>
        <w:pStyle w:val="Heading1"/>
        <w:tabs>
          <w:tab w:val="left" w:pos="886"/>
          <w:tab w:val="left" w:pos="887"/>
        </w:tabs>
        <w:ind w:right="1610"/>
        <w:jc w:val="both"/>
        <w:rPr>
          <w:b w:val="0"/>
          <w:bCs w:val="0"/>
        </w:rPr>
      </w:pPr>
      <w:r w:rsidRPr="00820A22">
        <w:rPr>
          <w:b w:val="0"/>
          <w:bCs w:val="0"/>
        </w:rPr>
        <w:lastRenderedPageBreak/>
        <w:t xml:space="preserve">- </w:t>
      </w:r>
      <w:r w:rsidR="004B03F2" w:rsidRPr="004B03F2">
        <w:rPr>
          <w:b w:val="0"/>
          <w:bCs w:val="0"/>
        </w:rPr>
        <w:t xml:space="preserve">Cho phép </w:t>
      </w:r>
      <w:r w:rsidR="004B03F2">
        <w:rPr>
          <w:b w:val="0"/>
          <w:bCs w:val="0"/>
        </w:rPr>
        <w:t>bên cung cấp dịch vụ</w:t>
      </w:r>
      <w:r w:rsidR="004B03F2" w:rsidRPr="004B03F2">
        <w:rPr>
          <w:b w:val="0"/>
          <w:bCs w:val="0"/>
        </w:rPr>
        <w:t xml:space="preserve"> thu thập thông tin khách hàng, quản lý sử dụng thông tin cá nhân an toàn và đúng mục đích. Đồng ý để </w:t>
      </w:r>
      <w:r w:rsidR="004B03F2">
        <w:rPr>
          <w:b w:val="0"/>
          <w:bCs w:val="0"/>
        </w:rPr>
        <w:t>CA2</w:t>
      </w:r>
      <w:r w:rsidR="004B03F2" w:rsidRPr="004B03F2">
        <w:rPr>
          <w:b w:val="0"/>
          <w:bCs w:val="0"/>
        </w:rPr>
        <w:t xml:space="preserve"> công khai thông tin về chứng thư </w:t>
      </w:r>
      <w:r w:rsidR="004B03F2">
        <w:rPr>
          <w:b w:val="0"/>
          <w:bCs w:val="0"/>
        </w:rPr>
        <w:t>sô</w:t>
      </w:r>
      <w:r w:rsidR="004B03F2" w:rsidRPr="004B03F2">
        <w:rPr>
          <w:b w:val="0"/>
          <w:bCs w:val="0"/>
        </w:rPr>
        <w:t xml:space="preserve"> của thuê bao trên cơ sở dữ liệu về chứng thư số của CA2</w:t>
      </w:r>
      <w:r w:rsidR="004B03F2">
        <w:rPr>
          <w:b w:val="0"/>
          <w:bCs w:val="0"/>
        </w:rPr>
        <w:t>.</w:t>
      </w:r>
      <w:r w:rsidR="004B03F2" w:rsidRPr="004B03F2">
        <w:rPr>
          <w:b w:val="0"/>
          <w:bCs w:val="0"/>
        </w:rPr>
        <w:t xml:space="preserve"> </w:t>
      </w:r>
    </w:p>
    <w:p w14:paraId="2EE1BE2C" w14:textId="140664F9" w:rsidR="00820A22" w:rsidRDefault="00820A22" w:rsidP="00820A22">
      <w:pPr>
        <w:pStyle w:val="Heading1"/>
        <w:tabs>
          <w:tab w:val="left" w:pos="886"/>
          <w:tab w:val="left" w:pos="887"/>
        </w:tabs>
        <w:ind w:right="1610"/>
        <w:jc w:val="both"/>
        <w:rPr>
          <w:b w:val="0"/>
          <w:bCs w:val="0"/>
        </w:rPr>
      </w:pPr>
      <w:r w:rsidRPr="00820A22">
        <w:rPr>
          <w:b w:val="0"/>
          <w:bCs w:val="0"/>
        </w:rPr>
        <w:t>- Cung cấp đầy đủ hồ sơ, thủ tục theo đúng quy định của nhà cung cấp dịch vụ</w:t>
      </w:r>
      <w:r w:rsidR="00CF7ED1">
        <w:rPr>
          <w:b w:val="0"/>
          <w:bCs w:val="0"/>
        </w:rPr>
        <w:t>.</w:t>
      </w:r>
    </w:p>
    <w:p w14:paraId="54A278DA" w14:textId="1E44963B" w:rsidR="004B03F2" w:rsidRDefault="004B03F2" w:rsidP="00820A22">
      <w:pPr>
        <w:pStyle w:val="Heading1"/>
        <w:tabs>
          <w:tab w:val="left" w:pos="886"/>
          <w:tab w:val="left" w:pos="887"/>
        </w:tabs>
        <w:ind w:right="1610"/>
        <w:jc w:val="both"/>
        <w:rPr>
          <w:b w:val="0"/>
          <w:bCs w:val="0"/>
        </w:rPr>
      </w:pPr>
      <w:r>
        <w:rPr>
          <w:b w:val="0"/>
          <w:bCs w:val="0"/>
        </w:rPr>
        <w:t xml:space="preserve">- </w:t>
      </w:r>
      <w:r w:rsidRPr="004B03F2">
        <w:rPr>
          <w:b w:val="0"/>
          <w:bCs w:val="0"/>
        </w:rPr>
        <w:t xml:space="preserve">Có quyền yêu cầu </w:t>
      </w:r>
      <w:r>
        <w:rPr>
          <w:b w:val="0"/>
          <w:bCs w:val="0"/>
        </w:rPr>
        <w:t xml:space="preserve">CA2 </w:t>
      </w:r>
      <w:r w:rsidRPr="004B03F2">
        <w:rPr>
          <w:b w:val="0"/>
          <w:bCs w:val="0"/>
        </w:rPr>
        <w:t>tạm dừng, thu hồi dịch vụ và tự chịu trách nhiệm về yêu cầu đó.</w:t>
      </w:r>
    </w:p>
    <w:p w14:paraId="48442335" w14:textId="378FE078" w:rsidR="004B03F2" w:rsidRDefault="004B03F2" w:rsidP="00820A22">
      <w:pPr>
        <w:pStyle w:val="Heading1"/>
        <w:tabs>
          <w:tab w:val="left" w:pos="886"/>
          <w:tab w:val="left" w:pos="887"/>
        </w:tabs>
        <w:ind w:right="1610"/>
        <w:jc w:val="both"/>
        <w:rPr>
          <w:b w:val="0"/>
          <w:bCs w:val="0"/>
        </w:rPr>
      </w:pPr>
      <w:r>
        <w:rPr>
          <w:b w:val="0"/>
          <w:bCs w:val="0"/>
        </w:rPr>
        <w:t xml:space="preserve">- </w:t>
      </w:r>
      <w:r w:rsidRPr="004B03F2">
        <w:rPr>
          <w:b w:val="0"/>
          <w:bCs w:val="0"/>
        </w:rPr>
        <w:t>Cung cấp thông tin theo quy định một cách trung thực, chính xác cho</w:t>
      </w:r>
      <w:r>
        <w:rPr>
          <w:b w:val="0"/>
          <w:bCs w:val="0"/>
        </w:rPr>
        <w:t xml:space="preserve"> CA2.</w:t>
      </w:r>
    </w:p>
    <w:p w14:paraId="25A3380F" w14:textId="243B6918" w:rsidR="004B03F2" w:rsidRPr="00820A22" w:rsidRDefault="004B03F2" w:rsidP="00820A22">
      <w:pPr>
        <w:pStyle w:val="Heading1"/>
        <w:tabs>
          <w:tab w:val="left" w:pos="886"/>
          <w:tab w:val="left" w:pos="887"/>
        </w:tabs>
        <w:ind w:right="1610"/>
        <w:jc w:val="both"/>
        <w:rPr>
          <w:b w:val="0"/>
          <w:bCs w:val="0"/>
        </w:rPr>
      </w:pPr>
      <w:r>
        <w:rPr>
          <w:b w:val="0"/>
          <w:bCs w:val="0"/>
        </w:rPr>
        <w:t xml:space="preserve">- </w:t>
      </w:r>
      <w:r w:rsidRPr="004B03F2">
        <w:rPr>
          <w:b w:val="0"/>
          <w:bCs w:val="0"/>
        </w:rPr>
        <w:t>Yêu cầu thu hồi chứng thư chữ ký số trong trường hợp có nhu cầu</w:t>
      </w:r>
    </w:p>
    <w:p w14:paraId="2F57BA7B" w14:textId="7B5D0DFD" w:rsidR="002401A4" w:rsidRPr="007B2EAF" w:rsidRDefault="00820A22" w:rsidP="00751BF9">
      <w:pPr>
        <w:pStyle w:val="Heading1"/>
        <w:tabs>
          <w:tab w:val="left" w:pos="886"/>
          <w:tab w:val="left" w:pos="887"/>
        </w:tabs>
      </w:pPr>
      <w:r>
        <w:rPr>
          <w:color w:val="333333"/>
        </w:rPr>
        <w:t>9</w:t>
      </w:r>
      <w:r w:rsidR="00751BF9" w:rsidRPr="007B2EAF">
        <w:rPr>
          <w:color w:val="333333"/>
        </w:rPr>
        <w:t>.</w:t>
      </w:r>
      <w:r>
        <w:rPr>
          <w:color w:val="333333"/>
        </w:rPr>
        <w:t xml:space="preserve"> </w:t>
      </w:r>
      <w:r w:rsidR="00E52D23" w:rsidRPr="007B2EAF">
        <w:rPr>
          <w:color w:val="333333"/>
        </w:rPr>
        <w:t>Thông tin hỗ trợ khách</w:t>
      </w:r>
      <w:r w:rsidR="00E52D23" w:rsidRPr="007B2EAF">
        <w:rPr>
          <w:color w:val="333333"/>
          <w:spacing w:val="7"/>
        </w:rPr>
        <w:t xml:space="preserve"> </w:t>
      </w:r>
      <w:r w:rsidR="00E52D23" w:rsidRPr="007B2EAF">
        <w:rPr>
          <w:color w:val="333333"/>
        </w:rPr>
        <w:t>hàng:</w:t>
      </w:r>
    </w:p>
    <w:p w14:paraId="5399D43A" w14:textId="77777777" w:rsidR="002401A4" w:rsidRPr="007B2EAF" w:rsidRDefault="00E52D23">
      <w:pPr>
        <w:pStyle w:val="BodyText"/>
        <w:jc w:val="both"/>
      </w:pPr>
      <w:r w:rsidRPr="007B2EAF">
        <w:rPr>
          <w:color w:val="333333"/>
        </w:rPr>
        <w:t>TỔ CHỨC CHỨNG THỰC CHỨNG THƯ SỐ CÔNG CỘNG CA2</w:t>
      </w:r>
    </w:p>
    <w:p w14:paraId="4F6FA337" w14:textId="77777777" w:rsidR="002401A4" w:rsidRPr="007B2EAF" w:rsidRDefault="00E52D23">
      <w:pPr>
        <w:pStyle w:val="BodyText"/>
        <w:spacing w:before="5"/>
      </w:pPr>
      <w:r w:rsidRPr="007B2EAF">
        <w:rPr>
          <w:color w:val="333333"/>
        </w:rPr>
        <w:t>Địa chỉ VPGD: Tầng 3, số 25 Nguyễn Huy Tưởng, Thanh Xuân, Hà Nội.</w:t>
      </w:r>
    </w:p>
    <w:p w14:paraId="08D54F46" w14:textId="77777777" w:rsidR="002401A4" w:rsidRPr="007B2EAF" w:rsidRDefault="002401A4">
      <w:pPr>
        <w:sectPr w:rsidR="002401A4" w:rsidRPr="007B2EAF">
          <w:pgSz w:w="12240" w:h="15840"/>
          <w:pgMar w:top="1000" w:right="0" w:bottom="280" w:left="1720" w:header="720" w:footer="720" w:gutter="0"/>
          <w:cols w:space="720"/>
        </w:sectPr>
      </w:pPr>
    </w:p>
    <w:p w14:paraId="7A4EDF2F" w14:textId="77777777" w:rsidR="002401A4" w:rsidRPr="007B2EAF" w:rsidRDefault="00E52D23">
      <w:pPr>
        <w:pStyle w:val="BodyText"/>
        <w:spacing w:before="70" w:line="367" w:lineRule="auto"/>
        <w:ind w:right="2506"/>
      </w:pPr>
      <w:r w:rsidRPr="007B2EAF">
        <w:rPr>
          <w:color w:val="333333"/>
        </w:rPr>
        <w:lastRenderedPageBreak/>
        <w:t>Chi nhánh: 346/ 63 Bình Lợi, Phường 13, Quận Bình Thạnh, TP.HCM. Hotline: 1900.54.54.07</w:t>
      </w:r>
    </w:p>
    <w:p w14:paraId="3ED4F51A" w14:textId="77777777" w:rsidR="002401A4" w:rsidRPr="007B2EAF" w:rsidRDefault="00E52D23">
      <w:pPr>
        <w:pStyle w:val="BodyText"/>
        <w:spacing w:before="0"/>
      </w:pPr>
      <w:r w:rsidRPr="007B2EAF">
        <w:rPr>
          <w:color w:val="333333"/>
        </w:rPr>
        <w:t xml:space="preserve">Email: </w:t>
      </w:r>
      <w:hyperlink r:id="rId8">
        <w:r w:rsidRPr="007B2EAF">
          <w:rPr>
            <w:color w:val="333333"/>
          </w:rPr>
          <w:t>support@cavn.vn</w:t>
        </w:r>
      </w:hyperlink>
    </w:p>
    <w:p w14:paraId="0ACBB6FF" w14:textId="77777777" w:rsidR="002401A4" w:rsidRPr="007B2EAF" w:rsidRDefault="00E52D23">
      <w:pPr>
        <w:pStyle w:val="BodyText"/>
        <w:spacing w:line="244" w:lineRule="auto"/>
        <w:ind w:right="1593"/>
        <w:jc w:val="both"/>
      </w:pPr>
      <w:r w:rsidRPr="007B2EAF">
        <w:rPr>
          <w:color w:val="333333"/>
        </w:rPr>
        <w:t>Việc đại diện của tổ chức/ cá nhân ký, đóng dấu vào bản “Đăng ký sử dụng dịch vụ chứng thực chữ ký số công cộng CA2” được hiểu là đã được tư vấn đầy đủ về sản phẩm và dịch vụ chứng thực số CA2 do Nacencomm cung cấp.</w:t>
      </w:r>
    </w:p>
    <w:sectPr w:rsidR="002401A4" w:rsidRPr="007B2EAF" w:rsidSect="002401A4">
      <w:pgSz w:w="12240" w:h="15840"/>
      <w:pgMar w:top="1000" w:right="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AFA"/>
    <w:multiLevelType w:val="hybridMultilevel"/>
    <w:tmpl w:val="D8026086"/>
    <w:lvl w:ilvl="0" w:tplc="A95CE1B0">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1F746526"/>
    <w:multiLevelType w:val="hybridMultilevel"/>
    <w:tmpl w:val="21680BE0"/>
    <w:lvl w:ilvl="0" w:tplc="FCE47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C2F80"/>
    <w:multiLevelType w:val="hybridMultilevel"/>
    <w:tmpl w:val="1EDEA956"/>
    <w:lvl w:ilvl="0" w:tplc="C4882686">
      <w:start w:val="2"/>
      <w:numFmt w:val="decimal"/>
      <w:lvlText w:val="%1."/>
      <w:lvlJc w:val="left"/>
      <w:pPr>
        <w:ind w:left="824" w:hanging="428"/>
      </w:pPr>
      <w:rPr>
        <w:rFonts w:ascii="Times New Roman" w:eastAsia="Times New Roman" w:hAnsi="Times New Roman" w:cs="Times New Roman" w:hint="default"/>
        <w:b/>
        <w:bCs/>
        <w:color w:val="333333"/>
        <w:w w:val="101"/>
        <w:sz w:val="24"/>
        <w:szCs w:val="24"/>
        <w:lang w:eastAsia="en-US" w:bidi="ar-SA"/>
      </w:rPr>
    </w:lvl>
    <w:lvl w:ilvl="1" w:tplc="504841A8">
      <w:numFmt w:val="bullet"/>
      <w:lvlText w:val="•"/>
      <w:lvlJc w:val="left"/>
      <w:pPr>
        <w:ind w:left="1790" w:hanging="428"/>
      </w:pPr>
      <w:rPr>
        <w:rFonts w:hint="default"/>
        <w:lang w:eastAsia="en-US" w:bidi="ar-SA"/>
      </w:rPr>
    </w:lvl>
    <w:lvl w:ilvl="2" w:tplc="15AE1356">
      <w:numFmt w:val="bullet"/>
      <w:lvlText w:val="•"/>
      <w:lvlJc w:val="left"/>
      <w:pPr>
        <w:ind w:left="2760" w:hanging="428"/>
      </w:pPr>
      <w:rPr>
        <w:rFonts w:hint="default"/>
        <w:lang w:eastAsia="en-US" w:bidi="ar-SA"/>
      </w:rPr>
    </w:lvl>
    <w:lvl w:ilvl="3" w:tplc="1EA4CAE6">
      <w:numFmt w:val="bullet"/>
      <w:lvlText w:val="•"/>
      <w:lvlJc w:val="left"/>
      <w:pPr>
        <w:ind w:left="3730" w:hanging="428"/>
      </w:pPr>
      <w:rPr>
        <w:rFonts w:hint="default"/>
        <w:lang w:eastAsia="en-US" w:bidi="ar-SA"/>
      </w:rPr>
    </w:lvl>
    <w:lvl w:ilvl="4" w:tplc="7680A6D6">
      <w:numFmt w:val="bullet"/>
      <w:lvlText w:val="•"/>
      <w:lvlJc w:val="left"/>
      <w:pPr>
        <w:ind w:left="4700" w:hanging="428"/>
      </w:pPr>
      <w:rPr>
        <w:rFonts w:hint="default"/>
        <w:lang w:eastAsia="en-US" w:bidi="ar-SA"/>
      </w:rPr>
    </w:lvl>
    <w:lvl w:ilvl="5" w:tplc="D77A1F04">
      <w:numFmt w:val="bullet"/>
      <w:lvlText w:val="•"/>
      <w:lvlJc w:val="left"/>
      <w:pPr>
        <w:ind w:left="5670" w:hanging="428"/>
      </w:pPr>
      <w:rPr>
        <w:rFonts w:hint="default"/>
        <w:lang w:eastAsia="en-US" w:bidi="ar-SA"/>
      </w:rPr>
    </w:lvl>
    <w:lvl w:ilvl="6" w:tplc="4DB20CAC">
      <w:numFmt w:val="bullet"/>
      <w:lvlText w:val="•"/>
      <w:lvlJc w:val="left"/>
      <w:pPr>
        <w:ind w:left="6640" w:hanging="428"/>
      </w:pPr>
      <w:rPr>
        <w:rFonts w:hint="default"/>
        <w:lang w:eastAsia="en-US" w:bidi="ar-SA"/>
      </w:rPr>
    </w:lvl>
    <w:lvl w:ilvl="7" w:tplc="9070AEBC">
      <w:numFmt w:val="bullet"/>
      <w:lvlText w:val="•"/>
      <w:lvlJc w:val="left"/>
      <w:pPr>
        <w:ind w:left="7610" w:hanging="428"/>
      </w:pPr>
      <w:rPr>
        <w:rFonts w:hint="default"/>
        <w:lang w:eastAsia="en-US" w:bidi="ar-SA"/>
      </w:rPr>
    </w:lvl>
    <w:lvl w:ilvl="8" w:tplc="EA042DDE">
      <w:numFmt w:val="bullet"/>
      <w:lvlText w:val="•"/>
      <w:lvlJc w:val="left"/>
      <w:pPr>
        <w:ind w:left="8580" w:hanging="428"/>
      </w:pPr>
      <w:rPr>
        <w:rFonts w:hint="default"/>
        <w:lang w:eastAsia="en-US" w:bidi="ar-SA"/>
      </w:rPr>
    </w:lvl>
  </w:abstractNum>
  <w:abstractNum w:abstractNumId="3" w15:restartNumberingAfterBreak="0">
    <w:nsid w:val="386F2E36"/>
    <w:multiLevelType w:val="hybridMultilevel"/>
    <w:tmpl w:val="5608FE7E"/>
    <w:lvl w:ilvl="0" w:tplc="2766FDD4">
      <w:start w:val="7"/>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856349"/>
    <w:multiLevelType w:val="hybridMultilevel"/>
    <w:tmpl w:val="5C78ED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49BB4B4D"/>
    <w:multiLevelType w:val="hybridMultilevel"/>
    <w:tmpl w:val="B9626504"/>
    <w:lvl w:ilvl="0" w:tplc="885EE480">
      <w:start w:val="1"/>
      <w:numFmt w:val="lowerLetter"/>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6" w15:restartNumberingAfterBreak="0">
    <w:nsid w:val="648C28B6"/>
    <w:multiLevelType w:val="hybridMultilevel"/>
    <w:tmpl w:val="9C0019EA"/>
    <w:lvl w:ilvl="0" w:tplc="8916B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5A6271"/>
    <w:multiLevelType w:val="hybridMultilevel"/>
    <w:tmpl w:val="BDCCE67A"/>
    <w:lvl w:ilvl="0" w:tplc="6FA45B4A">
      <w:start w:val="1"/>
      <w:numFmt w:val="lowerLetter"/>
      <w:lvlText w:val="%1."/>
      <w:lvlJc w:val="left"/>
      <w:pPr>
        <w:ind w:left="627" w:hanging="231"/>
      </w:pPr>
      <w:rPr>
        <w:rFonts w:ascii="Times New Roman" w:eastAsia="Times New Roman" w:hAnsi="Times New Roman" w:cs="Times New Roman" w:hint="default"/>
        <w:color w:val="333333"/>
        <w:spacing w:val="0"/>
        <w:w w:val="101"/>
        <w:sz w:val="24"/>
        <w:szCs w:val="24"/>
        <w:lang w:eastAsia="en-US" w:bidi="ar-SA"/>
      </w:rPr>
    </w:lvl>
    <w:lvl w:ilvl="1" w:tplc="9A7056EE">
      <w:numFmt w:val="bullet"/>
      <w:lvlText w:val="•"/>
      <w:lvlJc w:val="left"/>
      <w:pPr>
        <w:ind w:left="1610" w:hanging="231"/>
      </w:pPr>
      <w:rPr>
        <w:rFonts w:hint="default"/>
        <w:lang w:eastAsia="en-US" w:bidi="ar-SA"/>
      </w:rPr>
    </w:lvl>
    <w:lvl w:ilvl="2" w:tplc="4B5453F6">
      <w:numFmt w:val="bullet"/>
      <w:lvlText w:val="•"/>
      <w:lvlJc w:val="left"/>
      <w:pPr>
        <w:ind w:left="2600" w:hanging="231"/>
      </w:pPr>
      <w:rPr>
        <w:rFonts w:hint="default"/>
        <w:lang w:eastAsia="en-US" w:bidi="ar-SA"/>
      </w:rPr>
    </w:lvl>
    <w:lvl w:ilvl="3" w:tplc="6CE4C432">
      <w:numFmt w:val="bullet"/>
      <w:lvlText w:val="•"/>
      <w:lvlJc w:val="left"/>
      <w:pPr>
        <w:ind w:left="3590" w:hanging="231"/>
      </w:pPr>
      <w:rPr>
        <w:rFonts w:hint="default"/>
        <w:lang w:eastAsia="en-US" w:bidi="ar-SA"/>
      </w:rPr>
    </w:lvl>
    <w:lvl w:ilvl="4" w:tplc="5DB2DB3A">
      <w:numFmt w:val="bullet"/>
      <w:lvlText w:val="•"/>
      <w:lvlJc w:val="left"/>
      <w:pPr>
        <w:ind w:left="4580" w:hanging="231"/>
      </w:pPr>
      <w:rPr>
        <w:rFonts w:hint="default"/>
        <w:lang w:eastAsia="en-US" w:bidi="ar-SA"/>
      </w:rPr>
    </w:lvl>
    <w:lvl w:ilvl="5" w:tplc="D4E0300A">
      <w:numFmt w:val="bullet"/>
      <w:lvlText w:val="•"/>
      <w:lvlJc w:val="left"/>
      <w:pPr>
        <w:ind w:left="5570" w:hanging="231"/>
      </w:pPr>
      <w:rPr>
        <w:rFonts w:hint="default"/>
        <w:lang w:eastAsia="en-US" w:bidi="ar-SA"/>
      </w:rPr>
    </w:lvl>
    <w:lvl w:ilvl="6" w:tplc="5C3CBCAC">
      <w:numFmt w:val="bullet"/>
      <w:lvlText w:val="•"/>
      <w:lvlJc w:val="left"/>
      <w:pPr>
        <w:ind w:left="6560" w:hanging="231"/>
      </w:pPr>
      <w:rPr>
        <w:rFonts w:hint="default"/>
        <w:lang w:eastAsia="en-US" w:bidi="ar-SA"/>
      </w:rPr>
    </w:lvl>
    <w:lvl w:ilvl="7" w:tplc="98EC02AE">
      <w:numFmt w:val="bullet"/>
      <w:lvlText w:val="•"/>
      <w:lvlJc w:val="left"/>
      <w:pPr>
        <w:ind w:left="7550" w:hanging="231"/>
      </w:pPr>
      <w:rPr>
        <w:rFonts w:hint="default"/>
        <w:lang w:eastAsia="en-US" w:bidi="ar-SA"/>
      </w:rPr>
    </w:lvl>
    <w:lvl w:ilvl="8" w:tplc="1DB8A116">
      <w:numFmt w:val="bullet"/>
      <w:lvlText w:val="•"/>
      <w:lvlJc w:val="left"/>
      <w:pPr>
        <w:ind w:left="8540" w:hanging="231"/>
      </w:pPr>
      <w:rPr>
        <w:rFonts w:hint="default"/>
        <w:lang w:eastAsia="en-US" w:bidi="ar-SA"/>
      </w:rPr>
    </w:lvl>
  </w:abstractNum>
  <w:abstractNum w:abstractNumId="8" w15:restartNumberingAfterBreak="0">
    <w:nsid w:val="7F7915F0"/>
    <w:multiLevelType w:val="hybridMultilevel"/>
    <w:tmpl w:val="BF56D46A"/>
    <w:lvl w:ilvl="0" w:tplc="9C060002">
      <w:numFmt w:val="bullet"/>
      <w:lvlText w:val="-"/>
      <w:lvlJc w:val="left"/>
      <w:pPr>
        <w:ind w:left="396" w:hanging="161"/>
      </w:pPr>
      <w:rPr>
        <w:rFonts w:ascii="Times New Roman" w:eastAsia="Times New Roman" w:hAnsi="Times New Roman" w:cs="Times New Roman" w:hint="default"/>
        <w:color w:val="333333"/>
        <w:w w:val="101"/>
        <w:sz w:val="24"/>
        <w:szCs w:val="24"/>
        <w:lang w:eastAsia="en-US" w:bidi="ar-SA"/>
      </w:rPr>
    </w:lvl>
    <w:lvl w:ilvl="1" w:tplc="9DCC3946">
      <w:numFmt w:val="bullet"/>
      <w:lvlText w:val="•"/>
      <w:lvlJc w:val="left"/>
      <w:pPr>
        <w:ind w:left="1412" w:hanging="161"/>
      </w:pPr>
      <w:rPr>
        <w:rFonts w:hint="default"/>
        <w:lang w:eastAsia="en-US" w:bidi="ar-SA"/>
      </w:rPr>
    </w:lvl>
    <w:lvl w:ilvl="2" w:tplc="BFAEFEB0">
      <w:numFmt w:val="bullet"/>
      <w:lvlText w:val="•"/>
      <w:lvlJc w:val="left"/>
      <w:pPr>
        <w:ind w:left="2424" w:hanging="161"/>
      </w:pPr>
      <w:rPr>
        <w:rFonts w:hint="default"/>
        <w:lang w:eastAsia="en-US" w:bidi="ar-SA"/>
      </w:rPr>
    </w:lvl>
    <w:lvl w:ilvl="3" w:tplc="6E541CF0">
      <w:numFmt w:val="bullet"/>
      <w:lvlText w:val="•"/>
      <w:lvlJc w:val="left"/>
      <w:pPr>
        <w:ind w:left="3436" w:hanging="161"/>
      </w:pPr>
      <w:rPr>
        <w:rFonts w:hint="default"/>
        <w:lang w:eastAsia="en-US" w:bidi="ar-SA"/>
      </w:rPr>
    </w:lvl>
    <w:lvl w:ilvl="4" w:tplc="8E827BC8">
      <w:numFmt w:val="bullet"/>
      <w:lvlText w:val="•"/>
      <w:lvlJc w:val="left"/>
      <w:pPr>
        <w:ind w:left="4448" w:hanging="161"/>
      </w:pPr>
      <w:rPr>
        <w:rFonts w:hint="default"/>
        <w:lang w:eastAsia="en-US" w:bidi="ar-SA"/>
      </w:rPr>
    </w:lvl>
    <w:lvl w:ilvl="5" w:tplc="3070A236">
      <w:numFmt w:val="bullet"/>
      <w:lvlText w:val="•"/>
      <w:lvlJc w:val="left"/>
      <w:pPr>
        <w:ind w:left="5460" w:hanging="161"/>
      </w:pPr>
      <w:rPr>
        <w:rFonts w:hint="default"/>
        <w:lang w:eastAsia="en-US" w:bidi="ar-SA"/>
      </w:rPr>
    </w:lvl>
    <w:lvl w:ilvl="6" w:tplc="7DD60AF0">
      <w:numFmt w:val="bullet"/>
      <w:lvlText w:val="•"/>
      <w:lvlJc w:val="left"/>
      <w:pPr>
        <w:ind w:left="6472" w:hanging="161"/>
      </w:pPr>
      <w:rPr>
        <w:rFonts w:hint="default"/>
        <w:lang w:eastAsia="en-US" w:bidi="ar-SA"/>
      </w:rPr>
    </w:lvl>
    <w:lvl w:ilvl="7" w:tplc="FA9CC59E">
      <w:numFmt w:val="bullet"/>
      <w:lvlText w:val="•"/>
      <w:lvlJc w:val="left"/>
      <w:pPr>
        <w:ind w:left="7484" w:hanging="161"/>
      </w:pPr>
      <w:rPr>
        <w:rFonts w:hint="default"/>
        <w:lang w:eastAsia="en-US" w:bidi="ar-SA"/>
      </w:rPr>
    </w:lvl>
    <w:lvl w:ilvl="8" w:tplc="D4CADCF8">
      <w:numFmt w:val="bullet"/>
      <w:lvlText w:val="•"/>
      <w:lvlJc w:val="left"/>
      <w:pPr>
        <w:ind w:left="8496" w:hanging="161"/>
      </w:pPr>
      <w:rPr>
        <w:rFonts w:hint="default"/>
        <w:lang w:eastAsia="en-US" w:bidi="ar-SA"/>
      </w:rPr>
    </w:lvl>
  </w:abstractNum>
  <w:num w:numId="1">
    <w:abstractNumId w:val="7"/>
  </w:num>
  <w:num w:numId="2">
    <w:abstractNumId w:val="2"/>
  </w:num>
  <w:num w:numId="3">
    <w:abstractNumId w:val="8"/>
  </w:num>
  <w:num w:numId="4">
    <w:abstractNumId w:val="5"/>
  </w:num>
  <w:num w:numId="5">
    <w:abstractNumId w:val="0"/>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01A4"/>
    <w:rsid w:val="000F000E"/>
    <w:rsid w:val="000F0116"/>
    <w:rsid w:val="000F37A8"/>
    <w:rsid w:val="0015330D"/>
    <w:rsid w:val="001C6276"/>
    <w:rsid w:val="001C6918"/>
    <w:rsid w:val="001E0744"/>
    <w:rsid w:val="001E547F"/>
    <w:rsid w:val="002401A4"/>
    <w:rsid w:val="002B7EBB"/>
    <w:rsid w:val="002E5752"/>
    <w:rsid w:val="003242C9"/>
    <w:rsid w:val="00390349"/>
    <w:rsid w:val="00396AB8"/>
    <w:rsid w:val="003B466E"/>
    <w:rsid w:val="003F4B49"/>
    <w:rsid w:val="0042235C"/>
    <w:rsid w:val="004504A6"/>
    <w:rsid w:val="00453F40"/>
    <w:rsid w:val="004B03F2"/>
    <w:rsid w:val="004B4A04"/>
    <w:rsid w:val="004B6DCA"/>
    <w:rsid w:val="004C2E9E"/>
    <w:rsid w:val="004C4EF0"/>
    <w:rsid w:val="004D6339"/>
    <w:rsid w:val="004F5C60"/>
    <w:rsid w:val="004F7E1C"/>
    <w:rsid w:val="00522612"/>
    <w:rsid w:val="00587176"/>
    <w:rsid w:val="005B384E"/>
    <w:rsid w:val="005D4625"/>
    <w:rsid w:val="00600DE7"/>
    <w:rsid w:val="006015F8"/>
    <w:rsid w:val="00682B44"/>
    <w:rsid w:val="00684EF4"/>
    <w:rsid w:val="00696E88"/>
    <w:rsid w:val="006A5D98"/>
    <w:rsid w:val="006A6457"/>
    <w:rsid w:val="006B5A65"/>
    <w:rsid w:val="00750771"/>
    <w:rsid w:val="00751BF9"/>
    <w:rsid w:val="00762E82"/>
    <w:rsid w:val="007B2EAF"/>
    <w:rsid w:val="007F113D"/>
    <w:rsid w:val="0080458F"/>
    <w:rsid w:val="00820A22"/>
    <w:rsid w:val="0087145B"/>
    <w:rsid w:val="00896510"/>
    <w:rsid w:val="008B22BB"/>
    <w:rsid w:val="009741B3"/>
    <w:rsid w:val="00AE4822"/>
    <w:rsid w:val="00B4641A"/>
    <w:rsid w:val="00BC20F8"/>
    <w:rsid w:val="00BD773B"/>
    <w:rsid w:val="00BE54B5"/>
    <w:rsid w:val="00C02531"/>
    <w:rsid w:val="00C16E62"/>
    <w:rsid w:val="00C364E6"/>
    <w:rsid w:val="00C61493"/>
    <w:rsid w:val="00CB24DA"/>
    <w:rsid w:val="00CC3E98"/>
    <w:rsid w:val="00CE1752"/>
    <w:rsid w:val="00CF7ED1"/>
    <w:rsid w:val="00D14027"/>
    <w:rsid w:val="00D45D98"/>
    <w:rsid w:val="00D60DC2"/>
    <w:rsid w:val="00D80D18"/>
    <w:rsid w:val="00DA4FD8"/>
    <w:rsid w:val="00E52D23"/>
    <w:rsid w:val="00E62EA2"/>
    <w:rsid w:val="00E760B9"/>
    <w:rsid w:val="00E97C74"/>
    <w:rsid w:val="00EB4E94"/>
    <w:rsid w:val="00F42981"/>
    <w:rsid w:val="00FB0A28"/>
    <w:rsid w:val="00FD6DE3"/>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E5B7EF"/>
  <w15:docId w15:val="{760D8128-96C8-4D22-AF0D-307C5D0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01A4"/>
    <w:rPr>
      <w:rFonts w:ascii="Times New Roman" w:eastAsia="Times New Roman" w:hAnsi="Times New Roman" w:cs="Times New Roman"/>
    </w:rPr>
  </w:style>
  <w:style w:type="paragraph" w:styleId="Heading1">
    <w:name w:val="heading 1"/>
    <w:basedOn w:val="Normal"/>
    <w:uiPriority w:val="1"/>
    <w:qFormat/>
    <w:rsid w:val="002401A4"/>
    <w:pPr>
      <w:spacing w:before="140"/>
      <w:ind w:left="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01A4"/>
    <w:pPr>
      <w:spacing w:before="146"/>
      <w:ind w:left="396"/>
    </w:pPr>
    <w:rPr>
      <w:sz w:val="24"/>
      <w:szCs w:val="24"/>
    </w:rPr>
  </w:style>
  <w:style w:type="paragraph" w:styleId="Title">
    <w:name w:val="Title"/>
    <w:basedOn w:val="Normal"/>
    <w:uiPriority w:val="1"/>
    <w:qFormat/>
    <w:rsid w:val="002401A4"/>
    <w:pPr>
      <w:ind w:hanging="16"/>
    </w:pPr>
    <w:rPr>
      <w:rFonts w:ascii="Arial" w:eastAsia="Arial" w:hAnsi="Arial" w:cs="Arial"/>
      <w:sz w:val="29"/>
      <w:szCs w:val="29"/>
    </w:rPr>
  </w:style>
  <w:style w:type="paragraph" w:styleId="ListParagraph">
    <w:name w:val="List Paragraph"/>
    <w:basedOn w:val="Normal"/>
    <w:uiPriority w:val="1"/>
    <w:qFormat/>
    <w:rsid w:val="002401A4"/>
    <w:pPr>
      <w:spacing w:before="140"/>
      <w:ind w:left="396"/>
    </w:pPr>
  </w:style>
  <w:style w:type="paragraph" w:customStyle="1" w:styleId="TableParagraph">
    <w:name w:val="Table Paragraph"/>
    <w:basedOn w:val="Normal"/>
    <w:uiPriority w:val="1"/>
    <w:qFormat/>
    <w:rsid w:val="002401A4"/>
  </w:style>
  <w:style w:type="character" w:styleId="Hyperlink">
    <w:name w:val="Hyperlink"/>
    <w:basedOn w:val="DefaultParagraphFont"/>
    <w:uiPriority w:val="99"/>
    <w:unhideWhenUsed/>
    <w:rsid w:val="00751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47640">
      <w:bodyDiv w:val="1"/>
      <w:marLeft w:val="0"/>
      <w:marRight w:val="0"/>
      <w:marTop w:val="0"/>
      <w:marBottom w:val="0"/>
      <w:divBdr>
        <w:top w:val="none" w:sz="0" w:space="0" w:color="auto"/>
        <w:left w:val="none" w:sz="0" w:space="0" w:color="auto"/>
        <w:bottom w:val="none" w:sz="0" w:space="0" w:color="auto"/>
        <w:right w:val="none" w:sz="0" w:space="0" w:color="auto"/>
      </w:divBdr>
    </w:div>
    <w:div w:id="86490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cavn.vn" TargetMode="External"/><Relationship Id="rId3" Type="http://schemas.openxmlformats.org/officeDocument/2006/relationships/settings" Target="settings.xml"/><Relationship Id="rId7" Type="http://schemas.openxmlformats.org/officeDocument/2006/relationships/hyperlink" Target="http://www.cav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3Dadmin@cavn.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100</cp:revision>
  <dcterms:created xsi:type="dcterms:W3CDTF">2021-09-27T02:01:00Z</dcterms:created>
  <dcterms:modified xsi:type="dcterms:W3CDTF">2021-10-02T04:45:00Z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LastSaved">
    <vt:filetime>2021-09-27T00:00:00Z</vt:filetime>
  </property>
</Properties>
</file>