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4399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Obavijesti</w:t>
      </w:r>
    </w:p>
    <w:p w14:paraId="07A12E4F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Poštovani iznajmljivači,</w:t>
      </w:r>
    </w:p>
    <w:p w14:paraId="4D7A4B90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</w:t>
      </w:r>
    </w:p>
    <w:p w14:paraId="67B1BC5C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Ministarstvo turizma i sporta je objavilo novi </w:t>
      </w:r>
      <w:r w:rsidRPr="00843026">
        <w:rPr>
          <w:rFonts w:ascii="Century Gothic" w:eastAsia="Times New Roman" w:hAnsi="Century Gothic" w:cs="Times New Roman"/>
          <w:b/>
          <w:bCs/>
          <w:color w:val="585C5F"/>
          <w:sz w:val="19"/>
          <w:szCs w:val="19"/>
          <w:lang w:eastAsia="hr-HR"/>
        </w:rPr>
        <w:t>Pravilnik kojim se propisuje oslobođenje od plaćanja turističke pristojbe u 2021. godini za osobe koje pružaju ugostiteljske usluge u domaćinstvu</w:t>
      </w: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.</w:t>
      </w:r>
    </w:p>
    <w:p w14:paraId="28940897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</w:t>
      </w:r>
    </w:p>
    <w:p w14:paraId="521A434C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Iznajmljivači se oslobađaju </w:t>
      </w:r>
      <w:r w:rsidRPr="00843026">
        <w:rPr>
          <w:rFonts w:ascii="Century Gothic" w:eastAsia="Times New Roman" w:hAnsi="Century Gothic" w:cs="Times New Roman"/>
          <w:b/>
          <w:bCs/>
          <w:color w:val="585C5F"/>
          <w:sz w:val="19"/>
          <w:szCs w:val="19"/>
          <w:lang w:eastAsia="hr-HR"/>
        </w:rPr>
        <w:t>plaćanja POLA godišnjeg paušalnog iznosa turističke pristojbe za glavni krevet u 2021. godine</w:t>
      </w: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i oslobađaju se plaćanja godišnjeg paušalnog iznosa turističke pristojbe za </w:t>
      </w:r>
      <w:r w:rsidRPr="00843026">
        <w:rPr>
          <w:rFonts w:ascii="Century Gothic" w:eastAsia="Times New Roman" w:hAnsi="Century Gothic" w:cs="Times New Roman"/>
          <w:b/>
          <w:bCs/>
          <w:color w:val="585C5F"/>
          <w:sz w:val="19"/>
          <w:szCs w:val="19"/>
          <w:lang w:eastAsia="hr-HR"/>
        </w:rPr>
        <w:t>pomoćne krevete u cijelosti</w:t>
      </w: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. </w:t>
      </w:r>
    </w:p>
    <w:p w14:paraId="5494AE86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</w:t>
      </w:r>
    </w:p>
    <w:p w14:paraId="66F82471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Isto tako, Dopunom pravilnika o godišnjem paušalnom iznosu članarine za osobe koje pružaju ugostiteljske usluge u domaćinstvu, </w:t>
      </w:r>
      <w:r w:rsidRPr="00843026">
        <w:rPr>
          <w:rFonts w:ascii="Century Gothic" w:eastAsia="Times New Roman" w:hAnsi="Century Gothic" w:cs="Times New Roman"/>
          <w:b/>
          <w:bCs/>
          <w:color w:val="585C5F"/>
          <w:sz w:val="19"/>
          <w:szCs w:val="19"/>
          <w:lang w:eastAsia="hr-HR"/>
        </w:rPr>
        <w:t>visina godišnjeg paušalnog iznosa članarine u 2021. godini umanjuje se za 50%</w:t>
      </w: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, te se godišnji paušalni iznos članarine </w:t>
      </w:r>
      <w:r w:rsidRPr="00843026">
        <w:rPr>
          <w:rFonts w:ascii="Century Gothic" w:eastAsia="Times New Roman" w:hAnsi="Century Gothic" w:cs="Times New Roman"/>
          <w:b/>
          <w:bCs/>
          <w:color w:val="585C5F"/>
          <w:sz w:val="19"/>
          <w:szCs w:val="19"/>
          <w:lang w:eastAsia="hr-HR"/>
        </w:rPr>
        <w:t>ne plaća na pomoćne ležajeve</w:t>
      </w: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.</w:t>
      </w:r>
    </w:p>
    <w:p w14:paraId="589AF41E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</w:t>
      </w:r>
    </w:p>
    <w:p w14:paraId="4B940069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 xml:space="preserve">Iznajmljivači koji su ishodili rješenje kojim se utvrđuje prestanak pružanja ugostiteljskih usluga u domaćinstvu do dana stupanja na snagu Pravilnika o oslobođenju od plaćanja turističke pristojbe u 2021. g. (10.lipnja 2021.), oslobađaju se plaćanja turističke pristojbe za 2021.g. ako u objektima na koje se prestanak odnosi, prema podacima iz sustava </w:t>
      </w:r>
      <w:proofErr w:type="spellStart"/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eVisitor</w:t>
      </w:r>
      <w:proofErr w:type="spellEnd"/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, nije evidentirano niti jedno noćenje u 2021. godini.</w:t>
      </w:r>
    </w:p>
    <w:p w14:paraId="07E08A00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</w:t>
      </w:r>
    </w:p>
    <w:p w14:paraId="4C1ACAE9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Pravilnik o smanjenju turističke pristojbe se nalazi na linku: </w:t>
      </w:r>
      <w:hyperlink r:id="rId4" w:tgtFrame="_blank" w:history="1">
        <w:r w:rsidRPr="00843026">
          <w:rPr>
            <w:rFonts w:ascii="Century Gothic" w:eastAsia="Times New Roman" w:hAnsi="Century Gothic" w:cs="Times New Roman"/>
            <w:b/>
            <w:bCs/>
            <w:color w:val="585C5F"/>
            <w:sz w:val="19"/>
            <w:szCs w:val="19"/>
            <w:u w:val="single"/>
            <w:lang w:eastAsia="hr-HR"/>
          </w:rPr>
          <w:t>https://narodne-novine.nn.hr/clanci/sluzbeni/full/2021_06_64_1224.html</w:t>
        </w:r>
      </w:hyperlink>
    </w:p>
    <w:p w14:paraId="3AE72D3A" w14:textId="77777777" w:rsidR="00843026" w:rsidRPr="00843026" w:rsidRDefault="00843026" w:rsidP="00843026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 </w:t>
      </w:r>
    </w:p>
    <w:p w14:paraId="51BEE914" w14:textId="77777777" w:rsidR="00843026" w:rsidRPr="00843026" w:rsidRDefault="00843026" w:rsidP="00843026">
      <w:pPr>
        <w:shd w:val="clear" w:color="auto" w:fill="FFFFFF"/>
        <w:spacing w:before="300" w:after="30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Dopuna Pravilniku o smanjenju turističke članarine se nalazi na linku: </w:t>
      </w:r>
      <w:hyperlink r:id="rId5" w:tgtFrame="_blank" w:history="1">
        <w:r w:rsidRPr="00843026">
          <w:rPr>
            <w:rFonts w:ascii="Century Gothic" w:eastAsia="Times New Roman" w:hAnsi="Century Gothic" w:cs="Times New Roman"/>
            <w:b/>
            <w:bCs/>
            <w:color w:val="585C5F"/>
            <w:sz w:val="19"/>
            <w:szCs w:val="19"/>
            <w:u w:val="single"/>
            <w:lang w:eastAsia="hr-HR"/>
          </w:rPr>
          <w:t>https://narodne-novine.nn.hr/clanci/sluzbeni/full/2021_06_64_1226.html</w:t>
        </w:r>
      </w:hyperlink>
    </w:p>
    <w:p w14:paraId="24008A65" w14:textId="77777777" w:rsidR="00843026" w:rsidRPr="00843026" w:rsidRDefault="00843026" w:rsidP="00843026">
      <w:pPr>
        <w:shd w:val="clear" w:color="auto" w:fill="FFFFFF"/>
        <w:spacing w:before="300" w:after="30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S poštovanjem,</w:t>
      </w:r>
    </w:p>
    <w:p w14:paraId="43CA0E45" w14:textId="58BF5474" w:rsidR="00843026" w:rsidRPr="00843026" w:rsidRDefault="00843026" w:rsidP="00843026">
      <w:pPr>
        <w:shd w:val="clear" w:color="auto" w:fill="FFFFFF"/>
        <w:spacing w:before="300" w:after="300" w:line="240" w:lineRule="auto"/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</w:pP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 xml:space="preserve">Turistička zajednica grada </w:t>
      </w:r>
      <w:r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Komiže</w:t>
      </w:r>
      <w:r w:rsidRPr="00843026">
        <w:rPr>
          <w:rFonts w:ascii="Century Gothic" w:eastAsia="Times New Roman" w:hAnsi="Century Gothic" w:cs="Times New Roman"/>
          <w:color w:val="585C5F"/>
          <w:sz w:val="19"/>
          <w:szCs w:val="19"/>
          <w:lang w:eastAsia="hr-HR"/>
        </w:rPr>
        <w:t>!</w:t>
      </w:r>
    </w:p>
    <w:p w14:paraId="39925524" w14:textId="77777777" w:rsidR="00843026" w:rsidRDefault="00843026"/>
    <w:sectPr w:rsidR="00843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26"/>
    <w:rsid w:val="008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1A9B"/>
  <w15:chartTrackingRefBased/>
  <w15:docId w15:val="{9F64B691-F2ED-4AFA-B08D-000395EC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21_06_64_1226.html" TargetMode="External"/><Relationship Id="rId4" Type="http://schemas.openxmlformats.org/officeDocument/2006/relationships/hyperlink" Target="https://narodne-novine.nn.hr/clanci/sluzbeni/full/2021_06_64_122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Komiža</dc:creator>
  <cp:keywords/>
  <dc:description/>
  <cp:lastModifiedBy>TZ Komiža</cp:lastModifiedBy>
  <cp:revision>1</cp:revision>
  <dcterms:created xsi:type="dcterms:W3CDTF">2021-06-30T10:45:00Z</dcterms:created>
  <dcterms:modified xsi:type="dcterms:W3CDTF">2021-06-30T10:46:00Z</dcterms:modified>
</cp:coreProperties>
</file>