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6"/>
        <w:gridCol w:w="1679"/>
      </w:tblGrid>
      <w:tr w:rsidR="008909DD" w:rsidTr="006F44A7">
        <w:trPr>
          <w:cantSplit/>
          <w:tblHeader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13011E">
            <w:pPr>
              <w:suppressAutoHyphens/>
              <w:jc w:val="center"/>
              <w:rPr>
                <w:spacing w:val="-2"/>
                <w:szCs w:val="24"/>
              </w:rPr>
            </w:pPr>
            <w:r w:rsidRPr="006F44A7">
              <w:rPr>
                <w:spacing w:val="-2"/>
                <w:szCs w:val="24"/>
              </w:rPr>
              <w:t>Name of Project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13011E">
            <w:pPr>
              <w:suppressAutoHyphens/>
              <w:spacing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Closed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CC7630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pacing w:val="-3"/>
                <w:szCs w:val="24"/>
              </w:rPr>
              <w:t xml:space="preserve">$3,945,000 The Industrial Development Authority of the City of Tempe, Arizona Adjustable Rate Revenue Bonds (The Centers for Habilitation Project) Series 2001 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CC7630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10/16/01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FB1A0D" w:rsidRPr="00FB1A0D" w:rsidRDefault="007C0AE0" w:rsidP="00FB1A0D">
            <w:pPr>
              <w:suppressAutoHyphens/>
              <w:spacing w:before="160" w:after="54"/>
              <w:rPr>
                <w:szCs w:val="24"/>
              </w:rPr>
            </w:pPr>
            <w:r w:rsidRPr="00FB1A0D">
              <w:rPr>
                <w:spacing w:val="-3"/>
                <w:szCs w:val="24"/>
              </w:rPr>
              <w:t xml:space="preserve">$66,460,000 </w:t>
            </w:r>
            <w:r w:rsidRPr="00FB1A0D">
              <w:rPr>
                <w:szCs w:val="24"/>
              </w:rPr>
              <w:t xml:space="preserve">The Industrial Development Authority of the City </w:t>
            </w:r>
            <w:r w:rsidRPr="00FB1A0D">
              <w:rPr>
                <w:szCs w:val="24"/>
              </w:rPr>
              <w:t>of Tempe, Arizona Senior Living Revenue Bonds (Friendship Village of Tempe Project) Series 2002</w:t>
            </w:r>
          </w:p>
        </w:tc>
        <w:tc>
          <w:tcPr>
            <w:tcW w:w="1679" w:type="dxa"/>
            <w:shd w:val="clear" w:color="auto" w:fill="auto"/>
          </w:tcPr>
          <w:p w:rsidR="00FB1A0D" w:rsidRPr="00FB1A0D" w:rsidRDefault="007C0AE0" w:rsidP="00FB1A0D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FB1A0D">
              <w:rPr>
                <w:szCs w:val="24"/>
              </w:rPr>
              <w:t>12/19/02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pacing w:val="-3"/>
                <w:szCs w:val="24"/>
              </w:rPr>
              <w:t xml:space="preserve">$47,600,000 The Industrial Development Authority of the City of Tempe, Arizona Lease Revenue Bonds (Arizona State University/ASU Foundation Project), </w:t>
            </w:r>
            <w:r w:rsidRPr="006F44A7">
              <w:rPr>
                <w:spacing w:val="-3"/>
                <w:szCs w:val="24"/>
              </w:rPr>
              <w:t>Series 2003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10/28/03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zCs w:val="24"/>
              </w:rPr>
              <w:t>$34,495,000 The Industrial Development Authority of the City of Tempe, Arizona Variable Rate Revenue Bonds (ASUF Brickyard Project), Tax Exempt Series A 2004 &amp; Taxable Series B 2004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7/1/04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zCs w:val="24"/>
              </w:rPr>
              <w:t>$19,780,000 The Industrial Development Authority of the City of Tempe, Arizona Senior Living Refunding Revenue Bonds (Friendship Village of Tempe Project) Series 2004A and Series 2004B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7/14/04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zCs w:val="24"/>
              </w:rPr>
              <w:t>$10,650,000 The Industrial Development Authority of the City o</w:t>
            </w:r>
            <w:r w:rsidRPr="006F44A7">
              <w:rPr>
                <w:szCs w:val="24"/>
              </w:rPr>
              <w:t>f Tempe, Arizona Multifamily Housing Revenue Refunding Bonds (Pinnacle Grove Apartments Project) Series 2005 (Fannie Mae)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8/4/05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zCs w:val="24"/>
              </w:rPr>
              <w:t>The Industrial Development Authority of the City of Tempe, Arizona Revenue Bonds (Volunteers of America Care Facilities Obliga</w:t>
            </w:r>
            <w:r w:rsidRPr="006F44A7">
              <w:rPr>
                <w:szCs w:val="24"/>
              </w:rPr>
              <w:t>ted Group), Series 2007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5/10/07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zCs w:val="24"/>
              </w:rPr>
              <w:t>$77,030,000 The Industrial Development Authority of the City of Tempe, Arizona Revenue Refunding Bonds (Friendship Village of Tempe) Consisting of $72,570,000 Series 2012A and $4,460,000 Taxable Series 2012B (No Insurance)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3/22/12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zCs w:val="24"/>
              </w:rPr>
              <w:lastRenderedPageBreak/>
              <w:t>The Industrial Development Authority of the City of Tempe, Arizona Lease Revenue Refunding Bonds (Arizona State University/ASU Foundation Project) $39,050,000 Tax-Exempt Series 2014A and $4,360,000 Taxable Series 2014B (No Insurance)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4/22/14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CC7630">
            <w:pPr>
              <w:suppressAutoHyphens/>
              <w:spacing w:before="54" w:after="54"/>
              <w:rPr>
                <w:szCs w:val="24"/>
              </w:rPr>
            </w:pPr>
            <w:r w:rsidRPr="006F44A7">
              <w:rPr>
                <w:szCs w:val="24"/>
              </w:rPr>
              <w:t xml:space="preserve">The </w:t>
            </w:r>
            <w:r w:rsidRPr="006F44A7">
              <w:rPr>
                <w:szCs w:val="24"/>
              </w:rPr>
              <w:t>Industrial Development Authority of the City of Tempe, Arizona Lease Revenue Bonds (Arizona State University/ASU Foundation Project </w:t>
            </w:r>
            <w:r w:rsidRPr="006F44A7">
              <w:rPr>
                <w:szCs w:val="24"/>
              </w:rPr>
              <w:noBreakHyphen/>
              <w:t xml:space="preserve"> DC Building) $31,390,000 Tax-Exempt Series 2014A and $3,610,000 Taxable Series 2014B (No Insurance)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CC7630">
            <w:pPr>
              <w:suppressAutoHyphens/>
              <w:spacing w:before="54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12/16/14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D107F6">
            <w:pPr>
              <w:tabs>
                <w:tab w:val="left" w:pos="450"/>
                <w:tab w:val="right" w:pos="9360"/>
              </w:tabs>
              <w:suppressAutoHyphens/>
              <w:rPr>
                <w:szCs w:val="24"/>
              </w:rPr>
            </w:pPr>
            <w:r w:rsidRPr="006F44A7">
              <w:rPr>
                <w:szCs w:val="24"/>
              </w:rPr>
              <w:t>The Industri</w:t>
            </w:r>
            <w:r w:rsidRPr="006F44A7">
              <w:rPr>
                <w:szCs w:val="24"/>
              </w:rPr>
              <w:t xml:space="preserve">al Development Authority of the City of Tempe, Arizona Revenue Bonds (Mirabella @ ASU Project), </w:t>
            </w:r>
            <w:r w:rsidR="00D107F6">
              <w:rPr>
                <w:szCs w:val="24"/>
              </w:rPr>
              <w:t>$82,155,000 Tax-Exempt Series 2017A; $157,000,000 Tax-Exempt Series 2017B</w:t>
            </w:r>
            <w:bookmarkStart w:id="0" w:name="_GoBack"/>
            <w:bookmarkEnd w:id="0"/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CC7630">
            <w:pPr>
              <w:tabs>
                <w:tab w:val="left" w:pos="450"/>
                <w:tab w:val="right" w:pos="9360"/>
              </w:tabs>
              <w:suppressAutoHyphens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1</w:t>
            </w:r>
            <w:r w:rsidRPr="006F44A7">
              <w:rPr>
                <w:szCs w:val="24"/>
              </w:rPr>
              <w:t>2/22/17</w:t>
            </w:r>
          </w:p>
        </w:tc>
      </w:tr>
    </w:tbl>
    <w:p w:rsidR="000C386C" w:rsidRPr="006F44A7" w:rsidRDefault="007C0AE0">
      <w:pPr>
        <w:rPr>
          <w:szCs w:val="24"/>
        </w:rPr>
      </w:pPr>
    </w:p>
    <w:sectPr w:rsidR="000C386C" w:rsidRPr="006F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CA9B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3814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8E1E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E816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C91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74A8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A09A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CBB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E6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54F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DD"/>
    <w:rsid w:val="007C0AE0"/>
    <w:rsid w:val="008909DD"/>
    <w:rsid w:val="00D1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EBC6A-2666-450D-8ED2-0C20A160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630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6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6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3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3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630"/>
    <w:rPr>
      <w:rFonts w:eastAsiaTheme="minorHAnsi" w:cstheme="minorBidi"/>
      <w:szCs w:val="22"/>
    </w:rPr>
  </w:style>
  <w:style w:type="paragraph" w:styleId="BlockText">
    <w:name w:val="Block Text"/>
    <w:basedOn w:val="Normal"/>
    <w:uiPriority w:val="99"/>
    <w:semiHidden/>
    <w:unhideWhenUsed/>
    <w:rsid w:val="00CC763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630"/>
    <w:pPr>
      <w:spacing w:after="120"/>
    </w:pPr>
    <w:rPr>
      <w:rFonts w:eastAsia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630"/>
  </w:style>
  <w:style w:type="paragraph" w:styleId="BodyText2">
    <w:name w:val="Body Text 2"/>
    <w:basedOn w:val="Normal"/>
    <w:link w:val="BodyText2Char"/>
    <w:uiPriority w:val="99"/>
    <w:semiHidden/>
    <w:unhideWhenUsed/>
    <w:rsid w:val="00CC7630"/>
    <w:pPr>
      <w:spacing w:after="120" w:line="480" w:lineRule="auto"/>
    </w:pPr>
    <w:rPr>
      <w:rFonts w:eastAsia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630"/>
  </w:style>
  <w:style w:type="paragraph" w:styleId="BodyText3">
    <w:name w:val="Body Text 3"/>
    <w:basedOn w:val="Normal"/>
    <w:link w:val="BodyText3Char"/>
    <w:uiPriority w:val="99"/>
    <w:semiHidden/>
    <w:unhideWhenUsed/>
    <w:rsid w:val="00CC7630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63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6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6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630"/>
    <w:pPr>
      <w:spacing w:after="120"/>
      <w:ind w:left="360"/>
    </w:pPr>
    <w:rPr>
      <w:rFonts w:eastAsia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6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6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6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630"/>
    <w:pPr>
      <w:spacing w:after="120" w:line="480" w:lineRule="auto"/>
      <w:ind w:left="360"/>
    </w:pPr>
    <w:rPr>
      <w:rFonts w:eastAsia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6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630"/>
    <w:pPr>
      <w:spacing w:after="120"/>
      <w:ind w:left="360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6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630"/>
    <w:pPr>
      <w:spacing w:after="200"/>
    </w:pPr>
    <w:rPr>
      <w:rFonts w:eastAsiaTheme="minorHAnsi" w:cstheme="minorBidi"/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7630"/>
    <w:pPr>
      <w:ind w:left="4320"/>
    </w:pPr>
    <w:rPr>
      <w:rFonts w:eastAsiaTheme="minorHAnsi" w:cstheme="minorBidi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C7630"/>
  </w:style>
  <w:style w:type="paragraph" w:styleId="CommentText">
    <w:name w:val="annotation text"/>
    <w:basedOn w:val="Normal"/>
    <w:link w:val="CommentTextChar"/>
    <w:uiPriority w:val="99"/>
    <w:semiHidden/>
    <w:unhideWhenUsed/>
    <w:rsid w:val="00CC7630"/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3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7630"/>
    <w:rPr>
      <w:rFonts w:eastAsiaTheme="minorHAnsi" w:cstheme="minorBidi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CC7630"/>
  </w:style>
  <w:style w:type="paragraph" w:styleId="DocumentMap">
    <w:name w:val="Document Map"/>
    <w:basedOn w:val="Normal"/>
    <w:link w:val="DocumentMapChar"/>
    <w:uiPriority w:val="99"/>
    <w:semiHidden/>
    <w:unhideWhenUsed/>
    <w:rsid w:val="00CC7630"/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6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630"/>
    <w:rPr>
      <w:rFonts w:eastAsiaTheme="minorHAnsi" w:cstheme="minorBidi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630"/>
  </w:style>
  <w:style w:type="paragraph" w:styleId="EndnoteText">
    <w:name w:val="endnote text"/>
    <w:basedOn w:val="Normal"/>
    <w:link w:val="EndnoteTextChar"/>
    <w:uiPriority w:val="99"/>
    <w:semiHidden/>
    <w:unhideWhenUsed/>
    <w:rsid w:val="00CC7630"/>
    <w:rPr>
      <w:rFonts w:eastAsia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6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6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630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C7630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7630"/>
  </w:style>
  <w:style w:type="paragraph" w:styleId="FootnoteText">
    <w:name w:val="footnote text"/>
    <w:basedOn w:val="Normal"/>
    <w:link w:val="FootnoteTextChar"/>
    <w:uiPriority w:val="99"/>
    <w:semiHidden/>
    <w:unhideWhenUsed/>
    <w:rsid w:val="00CC7630"/>
    <w:rPr>
      <w:rFonts w:eastAsia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630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C7630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7630"/>
  </w:style>
  <w:style w:type="character" w:customStyle="1" w:styleId="Heading1Char">
    <w:name w:val="Heading 1 Char"/>
    <w:basedOn w:val="DefaultParagraphFont"/>
    <w:link w:val="Heading1"/>
    <w:uiPriority w:val="9"/>
    <w:rsid w:val="00CC76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63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63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6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C7630"/>
    <w:rPr>
      <w:rFonts w:eastAsiaTheme="minorHAnsi" w:cstheme="minorBid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63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630"/>
    <w:rPr>
      <w:rFonts w:ascii="Consolas" w:eastAsiaTheme="minorHAnsi" w:hAnsi="Consolas" w:cstheme="minorBidi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6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630"/>
    <w:pPr>
      <w:ind w:left="240" w:hanging="240"/>
    </w:pPr>
    <w:rPr>
      <w:rFonts w:eastAsiaTheme="minorHAnsi" w:cstheme="minorBidi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C7630"/>
    <w:pPr>
      <w:ind w:left="480" w:hanging="240"/>
    </w:pPr>
    <w:rPr>
      <w:rFonts w:eastAsiaTheme="minorHAnsi" w:cstheme="minorBidi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C7630"/>
    <w:pPr>
      <w:ind w:left="720" w:hanging="240"/>
    </w:pPr>
    <w:rPr>
      <w:rFonts w:eastAsiaTheme="minorHAnsi" w:cstheme="minorBidi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C763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63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63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63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63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63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6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6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630"/>
    <w:rPr>
      <w:rFonts w:eastAsia="Times New Roman" w:cs="Times New Roman"/>
      <w:i/>
      <w:iCs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CC76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76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76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76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76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C76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C76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6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6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6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6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6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6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6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6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C76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6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6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6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6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C763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C76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630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630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CC7630"/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CC7630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C7630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CC7630"/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CC7630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763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630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C76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7630"/>
    <w:rPr>
      <w:rFonts w:eastAsia="Times New Roman" w:cs="Times New Roman"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76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7630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C76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7630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6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C7630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63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630"/>
  </w:style>
  <w:style w:type="paragraph" w:styleId="Title">
    <w:name w:val="Title"/>
    <w:basedOn w:val="Normal"/>
    <w:next w:val="Normal"/>
    <w:link w:val="TitleChar"/>
    <w:uiPriority w:val="10"/>
    <w:qFormat/>
    <w:rsid w:val="00CC7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C763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6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63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63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63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63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63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63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63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63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M. Settles</cp:lastModifiedBy>
  <cp:revision>2</cp:revision>
  <dcterms:created xsi:type="dcterms:W3CDTF">2018-11-14T00:35:00Z</dcterms:created>
  <dcterms:modified xsi:type="dcterms:W3CDTF">2018-11-14T17:49:00Z</dcterms:modified>
</cp:coreProperties>
</file>