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AIDAN WOODCOCK CHARITABLE TRUST.</w:t>
      </w:r>
    </w:p>
    <w:p>
      <w:pPr>
        <w:pStyle w:val="Body"/>
        <w:rPr>
          <w:b w:val="1"/>
          <w:bCs w:val="1"/>
          <w:sz w:val="36"/>
          <w:szCs w:val="3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Health &amp; Safety Guidance.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For Trustees and those involved in stage management at public concerts.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</w:rPr>
        <w:t>COVID 19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Ensure that up-to-date guidance and rules are observed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FIRE PR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E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VENTION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Take steps to reduce the risk of fire. Use common sense, prevention is better than having to deal with a fire.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FIRE EXITS AND PASSAGEWAYS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Make sure that fire doors are unlocked and accessible and that people know where they are.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pt-PT"/>
        </w:rPr>
        <w:t>FIRE FIGHTING EQUIPMENT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Ensure that you know where extinguishers are located and that they are in date.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SMOKING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Only allow smoking in designated outside smoking areas and make sure there is an appropriate disposal area for cigarette ends. 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HEATERS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Take care with electric heaters, do not place flammable materials near or on top of them.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a-DK"/>
        </w:rPr>
        <w:t>CABLES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Make sure electric cables are clearly visible and not frayed or broken. If they are, make sure corrective action is taken to repair or replace them.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RUBBISH AND TID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I</w:t>
      </w:r>
      <w:r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  <w:rtl w:val="0"/>
          <w:lang w:val="de-DE"/>
        </w:rPr>
        <w:t>NESS</w:t>
      </w:r>
    </w:p>
    <w:p>
      <w:pPr>
        <w:pStyle w:val="Body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Make sure that the floor area where the public walk is free from rubbish and liquid on which people might slip; clean up spills and rubbish quickly.</w:t>
      </w: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  <w:rPr>
          <w:color w:val="000000"/>
          <w:sz w:val="28"/>
          <w:szCs w:val="28"/>
          <w:u w:color="000000"/>
        </w:rPr>
      </w:pPr>
    </w:p>
    <w:p>
      <w:pPr>
        <w:pStyle w:val="Body"/>
      </w:pPr>
      <w:r>
        <w:rPr>
          <w:color w:val="000000"/>
          <w:sz w:val="22"/>
          <w:szCs w:val="22"/>
          <w:u w:color="000000"/>
          <w:rtl w:val="0"/>
          <w:lang w:val="en-US"/>
        </w:rPr>
        <w:t>Reviewed October 2020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